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"/>
        <w:jc w:val="center"/>
        <w:rPr/>
      </w:pPr>
      <w:r>
        <w:rPr>
          <w:rFonts w:eastAsia="Calibri"/>
          <w:b/>
          <w:color w:val="000000"/>
          <w:sz w:val="30"/>
        </w:rPr>
        <w:t>DOSTOSOWANIE WYMAGAŃ EDUKACYJNYCH</w:t>
      </w:r>
    </w:p>
    <w:p>
      <w:pPr>
        <w:pStyle w:val="Normal"/>
        <w:spacing w:before="0" w:after="80"/>
        <w:jc w:val="center"/>
        <w:rPr>
          <w:rFonts w:ascii="Calibri" w:hAnsi="Calibri" w:eastAsia="Calibri"/>
          <w:b/>
          <w:color w:val="000000"/>
          <w:sz w:val="21"/>
        </w:rPr>
      </w:pPr>
      <w:r>
        <w:rPr>
          <w:rFonts w:eastAsia="Calibri"/>
          <w:b/>
          <w:color w:val="000000"/>
          <w:sz w:val="21"/>
        </w:rPr>
        <w:t>Edukacja zdrowotna — indywidualizacja pracy z osobą w spektrum autyzmu</w:t>
      </w:r>
    </w:p>
    <w:p>
      <w:pPr>
        <w:pStyle w:val="Normal"/>
        <w:spacing w:before="0" w:after="80"/>
        <w:jc w:val="center"/>
        <w:rPr>
          <w:rFonts w:ascii="Calibri" w:hAnsi="Calibri" w:eastAsia="Calibri"/>
          <w:b/>
          <w:color w:val="000000"/>
          <w:sz w:val="21"/>
        </w:rPr>
      </w:pPr>
      <w:r>
        <w:rPr>
          <w:rFonts w:eastAsia="Calibri"/>
          <w:b/>
          <w:color w:val="000000"/>
          <w:sz w:val="21"/>
        </w:rPr>
      </w:r>
    </w:p>
    <w:tbl>
      <w:tblPr>
        <w:tblStyle w:val="TableGrid"/>
        <w:tblW w:w="9360" w:type="dxa"/>
        <w:jc w:val="center"/>
        <w:tblInd w:w="0" w:type="dxa"/>
        <w:tblLayout w:type="fixed"/>
        <w:tblCellMar>
          <w:top w:w="45" w:type="dxa"/>
          <w:start w:w="75" w:type="dxa"/>
          <w:bottom w:w="45" w:type="dxa"/>
          <w:end w:w="75" w:type="dxa"/>
        </w:tblCellMar>
        <w:tblLook w:firstRow="1" w:noVBand="1" w:lastRow="0" w:firstColumn="1" w:lastColumn="0" w:noHBand="0" w:val="04a0"/>
      </w:tblPr>
      <w:tblGrid>
        <w:gridCol w:w="2549"/>
        <w:gridCol w:w="6811"/>
      </w:tblGrid>
      <w:tr>
        <w:trPr>
          <w:cantSplit w:val="true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Imię i nazwisko</w:t>
            </w:r>
          </w:p>
        </w:tc>
        <w:tc>
          <w:tcPr>
            <w:tcW w:w="681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b w:val="false"/>
                <w:color w:val="000000"/>
                <w:sz w:val="16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>
          <w:cantSplit w:val="true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Klasa i rok szkolny</w:t>
            </w:r>
          </w:p>
        </w:tc>
        <w:tc>
          <w:tcPr>
            <w:tcW w:w="681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b w:val="false"/>
                <w:color w:val="000000"/>
                <w:sz w:val="16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>
          <w:cantSplit w:val="true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Nauczyciel</w:t>
            </w:r>
          </w:p>
        </w:tc>
        <w:tc>
          <w:tcPr>
            <w:tcW w:w="681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b w:val="false"/>
                <w:color w:val="000000"/>
                <w:sz w:val="16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>
          <w:cantSplit w:val="true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Podstawa</w:t>
            </w:r>
          </w:p>
        </w:tc>
        <w:tc>
          <w:tcPr>
            <w:tcW w:w="681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orzeczenie o potrzebie kształcenia specjalnego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Nr………………..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 oraz ustalenia IPET</w:t>
            </w:r>
          </w:p>
        </w:tc>
      </w:tr>
      <w:tr>
        <w:trPr>
          <w:cantSplit w:val="true"/>
        </w:trPr>
        <w:tc>
          <w:tcPr>
            <w:tcW w:w="254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Okres obowiązywania</w:t>
            </w:r>
          </w:p>
        </w:tc>
        <w:tc>
          <w:tcPr>
            <w:tcW w:w="681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b w:val="false"/>
                <w:color w:val="000000"/>
                <w:sz w:val="16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60" w:after="60"/>
        <w:rPr>
          <w:rFonts w:ascii="Calibri" w:hAnsi="Calibri" w:eastAsia="Calibri"/>
          <w:b w:val="false"/>
          <w:color w:val="000000"/>
          <w:sz w:val="16"/>
        </w:rPr>
      </w:pPr>
      <w:r>
        <w:rPr/>
      </w:r>
    </w:p>
    <w:p>
      <w:pPr>
        <w:pStyle w:val="Normal"/>
        <w:keepNext w:val="true"/>
        <w:spacing w:before="60" w:after="80"/>
        <w:rPr/>
      </w:pPr>
      <w:r>
        <w:rPr>
          <w:rFonts w:eastAsia="Calibri"/>
          <w:b/>
          <w:color w:val="000000"/>
          <w:sz w:val="22"/>
        </w:rPr>
        <w:t xml:space="preserve">1. </w:t>
      </w:r>
      <w:r>
        <w:rPr>
          <w:rFonts w:eastAsia="Calibri"/>
          <w:b/>
          <w:color w:val="000000"/>
          <w:sz w:val="22"/>
        </w:rPr>
        <w:t>D</w:t>
      </w:r>
      <w:r>
        <w:rPr>
          <w:rFonts w:eastAsia="Calibri"/>
          <w:b/>
          <w:color w:val="000000"/>
          <w:sz w:val="22"/>
        </w:rPr>
        <w:t>ostępne i bezpieczne warunki pracy</w:t>
      </w:r>
    </w:p>
    <w:tbl>
      <w:tblPr>
        <w:tblStyle w:val="TableGrid"/>
        <w:tblW w:w="9360" w:type="dxa"/>
        <w:jc w:val="center"/>
        <w:tblInd w:w="0" w:type="dxa"/>
        <w:tblLayout w:type="fixed"/>
        <w:tblCellMar>
          <w:top w:w="45" w:type="dxa"/>
          <w:start w:w="75" w:type="dxa"/>
          <w:bottom w:w="45" w:type="dxa"/>
          <w:end w:w="75" w:type="dxa"/>
        </w:tblCellMar>
        <w:tblLook w:firstRow="1" w:noVBand="1" w:lastRow="0" w:firstColumn="1" w:lastColumn="0" w:noHBand="0" w:val="04a0"/>
      </w:tblPr>
      <w:tblGrid>
        <w:gridCol w:w="2299"/>
        <w:gridCol w:w="7061"/>
      </w:tblGrid>
      <w:tr>
        <w:trPr>
          <w:tblHeader w:val="true"/>
        </w:trPr>
        <w:tc>
          <w:tcPr>
            <w:tcW w:w="229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7"/>
                <w:szCs w:val="22"/>
                <w:lang w:val="en-US" w:eastAsia="en-US" w:bidi="ar-SA"/>
              </w:rPr>
              <w:t>Obszar</w:t>
            </w:r>
          </w:p>
        </w:tc>
        <w:tc>
          <w:tcPr>
            <w:tcW w:w="706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7"/>
                <w:szCs w:val="22"/>
                <w:lang w:val="en-US" w:eastAsia="en-US" w:bidi="ar-SA"/>
              </w:rPr>
              <w:t>Wybrane sposoby dostosowania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pomagam przewidzieć przebieg lekcji?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Na początku przedstawiam plan lekcji, a o możliwych zmianach informuję z wyprzedzeniem.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Dłuższe zadania dzielę na krótsze etapy i jasno pokazuję, od czego należy zacząć oraz ile czasu przewiduję na każdy etap.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przekazuję polecenia i treści?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Formułuję krótkie i jednoznaczne polecenia, a w razie potrzeby przekazuję je również na piśmie.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Porządkuję materiał za pomocą nagłówków, numeracji, schematów lub tabel oraz udostępniam notatkę strukturalną, listę pojęć albo przykład wykonania.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ograniczam przeciążenie bodźcami?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Jeżeli jest to potrzebne i możliwe, ograniczam hałas, intensywne światło oraz ruch w bezpośrednim otoczeniu i wspólnie ustalamy dogodne miejsce pracy.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Pozwalam korzystać z uzgodnionych pomocy oraz z krótkiej przerwy regulacyjnej, a wcześniej ustalamy spokojny sposób powrotu do zadania.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wspieram udział w rozmowie i pracy zespołowej?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Przed dyskusją wyjaśniam jej zasady, a przed pracą zespołową określam role, zakres odpowiedzialności i oczekiwany rezultat.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Jeżeli praca grupowa nie pozwala rzetelnie pokazać wiedzy, proponuję równoważną formę indywidualną, która sprawdza ten sam cel.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dbam o prywatność i osobiste granice?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Prowadzę rozmowę tak, aby nikt nie musiał ujawniać własnych doświadczeń, informacji o zdrowiu, diagnozie ani sytuacji rodzinnej.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Pozwalam pracować na przykładzie fikcyjnej osoby, tekstu źródłowego lub opisu sytuacji, ponieważ cele przedmiotu można osiągnąć bez osobistych zwierzeń.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reaguję na napięcie i treści wrażliwe?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Wspólnie ustalamy dyskretny sygnał przeciążenia. Kiedy pojawia się silne napięcie, ograniczam liczbę komunikatów, daję czas na regulację i wracam do wyjaśnień dopiero wtedy, gdy rozmowa jest możliwa.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Z wyprzedzeniem zapowiadam treści dotyczące między innymi dojrzewania, zdrowia psychicznego, przemocy i uzależnień. Nie stosuję niespodziewanego dotyku ani scenek naruszających granice osobiste.</w:t>
            </w:r>
          </w:p>
        </w:tc>
      </w:tr>
    </w:tbl>
    <w:p>
      <w:pPr>
        <w:pStyle w:val="Normal"/>
        <w:keepNext w:val="true"/>
        <w:spacing w:before="0" w:after="80"/>
        <w:rPr/>
      </w:pPr>
      <w:r>
        <w:rPr>
          <w:rFonts w:eastAsia="Calibri"/>
          <w:b/>
          <w:color w:val="000000"/>
          <w:sz w:val="22"/>
        </w:rPr>
        <w:t xml:space="preserve">2. </w:t>
      </w:r>
      <w:r>
        <w:rPr>
          <w:rFonts w:eastAsia="Calibri"/>
          <w:b/>
          <w:color w:val="000000"/>
          <w:sz w:val="22"/>
        </w:rPr>
        <w:t>S</w:t>
      </w:r>
      <w:r>
        <w:rPr>
          <w:rFonts w:eastAsia="Calibri"/>
          <w:b/>
          <w:color w:val="000000"/>
          <w:sz w:val="22"/>
        </w:rPr>
        <w:t>prawdz</w:t>
      </w:r>
      <w:r>
        <w:rPr>
          <w:rFonts w:eastAsia="Calibri"/>
          <w:b/>
          <w:color w:val="000000"/>
          <w:sz w:val="22"/>
        </w:rPr>
        <w:t>anie</w:t>
      </w:r>
      <w:r>
        <w:rPr>
          <w:rFonts w:eastAsia="Calibri"/>
          <w:b/>
          <w:color w:val="000000"/>
          <w:sz w:val="22"/>
        </w:rPr>
        <w:t xml:space="preserve"> wiedz</w:t>
      </w:r>
      <w:r>
        <w:rPr>
          <w:rFonts w:eastAsia="Calibri"/>
          <w:b/>
          <w:color w:val="000000"/>
          <w:sz w:val="22"/>
        </w:rPr>
        <w:t>y</w:t>
      </w:r>
      <w:r>
        <w:rPr>
          <w:rFonts w:eastAsia="Calibri"/>
          <w:b/>
          <w:color w:val="000000"/>
          <w:sz w:val="22"/>
        </w:rPr>
        <w:t xml:space="preserve"> i ocen</w:t>
      </w:r>
      <w:r>
        <w:rPr>
          <w:rFonts w:eastAsia="Calibri"/>
          <w:b/>
          <w:color w:val="000000"/>
          <w:sz w:val="22"/>
        </w:rPr>
        <w:t xml:space="preserve">a </w:t>
      </w:r>
      <w:r>
        <w:rPr>
          <w:rFonts w:eastAsia="Calibri"/>
          <w:b/>
          <w:color w:val="000000"/>
          <w:sz w:val="22"/>
        </w:rPr>
        <w:t>osiągnię</w:t>
      </w:r>
      <w:r>
        <w:rPr>
          <w:rFonts w:eastAsia="Calibri"/>
          <w:b/>
          <w:color w:val="000000"/>
          <w:sz w:val="22"/>
        </w:rPr>
        <w:t>ć</w:t>
      </w:r>
    </w:p>
    <w:p>
      <w:pPr>
        <w:pStyle w:val="Normal"/>
        <w:spacing w:before="0" w:after="80"/>
        <w:rPr>
          <w:rFonts w:ascii="Calibri" w:hAnsi="Calibri" w:eastAsia="Calibri"/>
          <w:b/>
          <w:color w:val="000000"/>
          <w:sz w:val="22"/>
        </w:rPr>
      </w:pPr>
      <w:r>
        <w:rPr>
          <w:rFonts w:eastAsia="Calibri"/>
          <w:b/>
          <w:color w:val="000000"/>
          <w:sz w:val="22"/>
        </w:rPr>
      </w:r>
    </w:p>
    <w:tbl>
      <w:tblPr>
        <w:tblStyle w:val="TableGrid"/>
        <w:tblW w:w="9360" w:type="dxa"/>
        <w:jc w:val="center"/>
        <w:tblInd w:w="0" w:type="dxa"/>
        <w:tblLayout w:type="fixed"/>
        <w:tblCellMar>
          <w:top w:w="45" w:type="dxa"/>
          <w:start w:w="75" w:type="dxa"/>
          <w:bottom w:w="45" w:type="dxa"/>
          <w:end w:w="75" w:type="dxa"/>
        </w:tblCellMar>
        <w:tblLook w:firstRow="1" w:noVBand="1" w:lastRow="0" w:firstColumn="1" w:lastColumn="0" w:noHBand="0" w:val="04a0"/>
      </w:tblPr>
      <w:tblGrid>
        <w:gridCol w:w="2299"/>
        <w:gridCol w:w="7061"/>
      </w:tblGrid>
      <w:tr>
        <w:trPr>
          <w:tblHeader w:val="true"/>
        </w:trPr>
        <w:tc>
          <w:tcPr>
            <w:tcW w:w="2299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7"/>
                <w:szCs w:val="22"/>
                <w:lang w:val="en-US" w:eastAsia="en-US" w:bidi="ar-SA"/>
              </w:rPr>
              <w:t>Obszar</w:t>
            </w:r>
          </w:p>
        </w:tc>
        <w:tc>
          <w:tcPr>
            <w:tcW w:w="7061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7"/>
                <w:szCs w:val="22"/>
                <w:lang w:val="en-US" w:eastAsia="en-US" w:bidi="ar-SA"/>
              </w:rPr>
              <w:t>Wybrane sposoby dostosowania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Co jest przedmiotem oceny?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Oceniam wiedzę i umiejętności wynikające z programu nauczania oraz z podanych wcześniej kryteriów sukcesu.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Nie oceniam sposobu nawiązywania kontaktu wzrokowego, cech osobowości, ekspresji emocji ani gotowości do mówienia o prywatnych doświadczeniach. Jest to zasada obowiązująca wobec wszystkich osób w klasie, a nie szczególne dostosowanie wynikające z diagnozy.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wyjaśniam kryteria oceny?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Przed rozpoczęciem zadania przekazuję jasne i możliwie konkretne kryteria, a przy zadaniu złożonym pokazuję również kolejne etapy pracy.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Sprawdzam, czy polecenie zostało właściwie zrozumiane, i wyjaśniam niejasności bez podpowiadania odpowiedzi.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dobieram formę odpowiedzi?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Jeżeli forma ustna, wystąpienie przed całą klasą albo szybka spontaniczna wypowiedź tworzą barierę niezwiązaną z celem zadania, proponuję odpowiedź pisemną, rozmowę indywidualną, nagranie lub prezentację w mniejszej grupie.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Zmieniam sposób udzielenia odpowiedzi, ale zachowuję ten sam cel, zakres treści i kluczowe wymagania merytoryczne.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uwzględniam czas i sposób organizacji pracy?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Jeżeli tempo przetwarzania informacji utrudnia pokazanie wiedzy, wydłużam czas albo dzielę sprawdzian na krótsze części, zgodnie z ustaleniami IPET.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Pozwalam skorzystać z komputera, odpowiedzi punktowych, schematu lub tabeli wtedy, gdy taka forma nie zmienia umiejętności, którą sprawdzam.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oceniam prezentację i pracę zespołową?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W prezentacji oceniam przede wszystkim poprawność i sposób uporządkowania treści. Płynność wypowiedzi, spontaniczność i styl zachowania biorę pod uwagę tylko wtedy, gdy są wyraźnie wskazanym i uzasadnionym celem zadania.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W pracy zespołowej oddzielam ocenę wiedzy od trudności w komunikacji społecznej i upewniam się, że indywidualny wkład można rozpoznać w sprawiedliwy sposób.</w:t>
            </w:r>
          </w:p>
        </w:tc>
      </w:tr>
      <w:tr>
        <w:trPr>
          <w:cantSplit w:val="true"/>
        </w:trPr>
        <w:tc>
          <w:tcPr>
            <w:tcW w:w="229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przekazuję informację zwrotną?</w:t>
            </w:r>
          </w:p>
        </w:tc>
        <w:tc>
          <w:tcPr>
            <w:tcW w:w="706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4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Mówię konkretnie, co zostało wykonane poprawnie, czego jeszcze brakuje i jaki kolejny krok pomoże poprawić pracę.</w:t>
            </w:r>
          </w:p>
          <w:p>
            <w:pPr>
              <w:pStyle w:val="Normal"/>
              <w:widowControl/>
              <w:spacing w:lineRule="auto" w:line="240" w:before="0" w:after="16"/>
              <w:ind w:hanging="142" w:start="198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• </w:t>
            </w: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t>Jeżeli silne przeciążenie uniemożliwiło dokończenie odpowiedzi, ustalam sposób kontynuacji lub nowy termin. Nie utożsamiam reakcji stresowej z brakiem wiedzy.</w:t>
            </w:r>
          </w:p>
        </w:tc>
      </w:tr>
    </w:tbl>
    <w:p>
      <w:pPr>
        <w:pStyle w:val="Normal"/>
        <w:keepNext w:val="true"/>
        <w:spacing w:before="60" w:after="60"/>
        <w:rPr/>
      </w:pPr>
      <w:r>
        <w:rPr>
          <w:rFonts w:eastAsia="Calibri"/>
          <w:b/>
          <w:color w:val="000000"/>
          <w:sz w:val="21"/>
        </w:rPr>
        <w:t xml:space="preserve">3. Ustalenia </w:t>
      </w:r>
      <w:r>
        <w:rPr>
          <w:rFonts w:eastAsia="Calibri"/>
          <w:b/>
          <w:color w:val="000000"/>
          <w:sz w:val="21"/>
        </w:rPr>
        <w:t>doatkowe według orzecznenia</w:t>
      </w:r>
    </w:p>
    <w:tbl>
      <w:tblPr>
        <w:tblStyle w:val="TableGrid"/>
        <w:tblW w:w="9360" w:type="dxa"/>
        <w:jc w:val="center"/>
        <w:tblInd w:w="0" w:type="dxa"/>
        <w:tblLayout w:type="fixed"/>
        <w:tblCellMar>
          <w:top w:w="45" w:type="dxa"/>
          <w:start w:w="75" w:type="dxa"/>
          <w:bottom w:w="45" w:type="dxa"/>
          <w:end w:w="75" w:type="dxa"/>
        </w:tblCellMar>
        <w:tblLook w:firstRow="1" w:noVBand="1" w:lastRow="0" w:firstColumn="1" w:lastColumn="0" w:noHBand="0" w:val="04a0"/>
      </w:tblPr>
      <w:tblGrid>
        <w:gridCol w:w="3050"/>
        <w:gridCol w:w="6310"/>
      </w:tblGrid>
      <w:tr>
        <w:trPr>
          <w:cantSplit w:val="true"/>
        </w:trPr>
        <w:tc>
          <w:tcPr>
            <w:tcW w:w="305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Jakie sytuacje pomagają w uczeniu się, a jakie tworzą barierę?</w:t>
            </w:r>
          </w:p>
        </w:tc>
        <w:tc>
          <w:tcPr>
            <w:tcW w:w="631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br/>
            </w:r>
          </w:p>
        </w:tc>
      </w:tr>
      <w:tr>
        <w:trPr>
          <w:cantSplit w:val="true"/>
        </w:trPr>
        <w:tc>
          <w:tcPr>
            <w:tcW w:w="305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będziemy przekazywać polecenia i organizować pracę?</w:t>
            </w:r>
          </w:p>
        </w:tc>
        <w:tc>
          <w:tcPr>
            <w:tcW w:w="631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br/>
            </w:r>
          </w:p>
        </w:tc>
      </w:tr>
      <w:tr>
        <w:trPr>
          <w:cantSplit w:val="true"/>
        </w:trPr>
        <w:tc>
          <w:tcPr>
            <w:tcW w:w="305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Jak rozpoznamy przeciążenie i jak spokojnie wrócimy do zadania?</w:t>
            </w:r>
          </w:p>
        </w:tc>
        <w:tc>
          <w:tcPr>
            <w:tcW w:w="631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br/>
            </w:r>
          </w:p>
        </w:tc>
      </w:tr>
      <w:tr>
        <w:trPr>
          <w:cantSplit w:val="true"/>
        </w:trPr>
        <w:tc>
          <w:tcPr>
            <w:tcW w:w="305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W jaki sposób będzie można najpełniej pokazać wiedzę i umiejętności?</w:t>
            </w:r>
          </w:p>
        </w:tc>
        <w:tc>
          <w:tcPr>
            <w:tcW w:w="631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br/>
            </w:r>
          </w:p>
        </w:tc>
      </w:tr>
    </w:tbl>
    <w:p>
      <w:pPr>
        <w:pStyle w:val="Normal"/>
        <w:spacing w:before="60" w:after="40"/>
        <w:rPr/>
      </w:pPr>
      <w:r>
        <w:rPr>
          <w:rFonts w:eastAsia="Calibri"/>
          <w:b w:val="false"/>
          <w:color w:val="000000"/>
          <w:sz w:val="15"/>
        </w:rPr>
        <w:t>Ten dokument może uszczegóławiać ustalenia IPET w zakresie edukacji zdrowotnej, jeżeli szkoła przyjęła taką formę dokumentacji. Nie zastępuje orzeczenia, WOPFU ani IPET. Wracamy do zapisanych rozwiązań i zmieniamy je wtedy, gdy obserwacja pracy pokazuje, że wsparcie nie jest skuteczne albo potrzeby uległy zmianie.</w:t>
      </w:r>
    </w:p>
    <w:tbl>
      <w:tblPr>
        <w:tblStyle w:val="TableGrid"/>
        <w:tblW w:w="9360" w:type="dxa"/>
        <w:jc w:val="center"/>
        <w:tblInd w:w="0" w:type="dxa"/>
        <w:tblLayout w:type="fixed"/>
        <w:tblCellMar>
          <w:top w:w="45" w:type="dxa"/>
          <w:start w:w="75" w:type="dxa"/>
          <w:bottom w:w="45" w:type="dxa"/>
          <w:end w:w="75" w:type="dxa"/>
        </w:tblCellMar>
        <w:tblLook w:firstRow="1" w:noVBand="1" w:lastRow="0" w:firstColumn="1" w:lastColumn="0" w:noHBand="0" w:val="04a0"/>
      </w:tblPr>
      <w:tblGrid>
        <w:gridCol w:w="4680"/>
        <w:gridCol w:w="4680"/>
      </w:tblGrid>
      <w:tr>
        <w:trPr/>
        <w:tc>
          <w:tcPr>
            <w:tcW w:w="4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Data opracowania / aktualizacji</w:t>
            </w:r>
          </w:p>
        </w:tc>
        <w:tc>
          <w:tcPr>
            <w:tcW w:w="4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Podpis nauczyciela / członka zespołu</w:t>
            </w:r>
          </w:p>
        </w:tc>
      </w:tr>
      <w:tr>
        <w:trPr/>
        <w:tc>
          <w:tcPr>
            <w:tcW w:w="4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br/>
            </w:r>
          </w:p>
        </w:tc>
        <w:tc>
          <w:tcPr>
            <w:tcW w:w="4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b w:val="false"/>
                <w:color w:val="000000"/>
                <w:kern w:val="0"/>
                <w:sz w:val="16"/>
                <w:szCs w:val="22"/>
                <w:lang w:val="en-US" w:eastAsia="en-US" w:bidi="ar-SA"/>
              </w:rPr>
              <w:br/>
            </w:r>
          </w:p>
        </w:tc>
      </w:tr>
    </w:tbl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79" w:right="879" w:gutter="0" w:header="255" w:top="652" w:footer="255" w:bottom="6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eastAsia="Calibri"/>
        <w:b w:val="false"/>
        <w:color w:val="000000"/>
        <w:sz w:val="15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eastAsia="Calibri"/>
        <w:b w:val="false"/>
        <w:color w:val="000000"/>
        <w:sz w:val="15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rPr>
        <w:rFonts w:ascii="Calibri" w:hAnsi="Calibri" w:eastAsia="Calibri"/>
        <w:b/>
        <w:color w:val="000000"/>
        <w:sz w:val="15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rPr>
        <w:rFonts w:ascii="Calibri" w:hAnsi="Calibri" w:eastAsia="Calibri"/>
        <w:b/>
        <w:color w:val="000000"/>
        <w:sz w:val="15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40" w:before="0" w:after="40"/>
      <w:jc w:val="start"/>
    </w:pPr>
    <w:rPr>
      <w:rFonts w:ascii="Calibri" w:hAnsi="Calibri" w:eastAsia="Calibri" w:cs=""/>
      <w:color w:val="000000"/>
      <w:kern w:val="0"/>
      <w:sz w:val="18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Calibri" w:cs="" w:cstheme="majorBid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Calibri" w:cs="" w:cstheme="majorBid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Calibri" w:cs="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Calibri" w:cs="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Calibri" w:cs="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Calibri" w:cs="" w:cstheme="majorBidi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Calibri" w:cs="" w:cstheme="majorBid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Calibri" w:cs="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Calibri" w:cs="" w:cstheme="majorBidi"/>
      <w:i/>
      <w:iCs/>
      <w:color w:val="00000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Calibri" w:cs="" w:cstheme="majorBidi"/>
      <w:b/>
      <w:bCs/>
      <w:color w:val="000000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Calibri" w:cs="" w:cstheme="majorBidi"/>
      <w:b/>
      <w:bCs/>
      <w:color w:val="000000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Calibri" w:cs="" w:cstheme="majorBidi"/>
      <w:b/>
      <w:bCs/>
      <w:color w:val="000000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Calibri" w:cs="" w:cstheme="majorBidi"/>
      <w:color w:val="000000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Calibri" w:cs="" w:cstheme="majorBidi"/>
      <w:i/>
      <w:iCs/>
      <w:color w:val="000000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alibri" w:hAnsi="Calibri" w:eastAsia="Calibri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Calibri" w:cs="" w:cstheme="majorBidi"/>
      <w:b/>
      <w:bCs/>
      <w:i/>
      <w:iCs/>
      <w:color w:val="000000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Calibri" w:cs="" w:cstheme="majorBidi"/>
      <w:color w:val="00000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Calibri" w:cs="" w:cstheme="majorBidi"/>
      <w:i/>
      <w:iCs/>
      <w:color w:val="00000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Calibri" w:cs="" w:cstheme="majorBidi"/>
      <w:i/>
      <w:iCs/>
      <w:color w:val="00000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Calibri" w:cs="" w:cstheme="majorBidi"/>
      <w:color w:val="000000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Calibri" w:cs="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000000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4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000000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Calibri" w:cs="" w:cstheme="majorBidi"/>
      <w:color w:val="000000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Calibri" w:cs="" w:cstheme="majorBidi"/>
      <w:i/>
      <w:iCs/>
      <w:color w:val="000000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4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4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4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4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4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4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4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4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4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alibri" w:hAnsi="Calibri" w:eastAsia="Calibri" w:cs="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val="00000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FFFFF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FFFFF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FFFFF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FFFFF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FFFFF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FFFFF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FFFFF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FFFFF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FFFFF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FFFFF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FFFFF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FFFFF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cstheme="majorBidi"/>
        <w:b/>
        <w:bCs/>
      </w:rPr>
      <w:tblPr/>
    </w:tblStylePr>
    <w:tblStylePr w:type="lastCol">
      <w:rPr>
        <w:rFonts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FFFF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FFFF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/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FFFFF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lastRow">
      <w:rPr>
        <w:b/>
        <w:bCs/>
        <w:i w:val="0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/>
      </w:tcPr>
    </w:tblStylePr>
    <w:tblStylePr w:type="firstCol">
      <w:rPr>
        <w:b/>
        <w:bCs/>
        <w:i w:val="0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rPr/>
      <w:tblPr/>
    </w:tblStylePr>
    <w:tblStylePr w:type="nwCell">
      <w:rPr/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rPr/>
      <w:tblPr/>
    </w:tblStylePr>
    <w:tblStylePr w:type="nwCell">
      <w:rPr/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rPr/>
      <w:tblPr/>
    </w:tblStylePr>
    <w:tblStylePr w:type="nwCell">
      <w:rPr/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rPr/>
      <w:tblPr/>
    </w:tblStylePr>
    <w:tblStylePr w:type="nwCell">
      <w:rPr/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rPr/>
      <w:tblPr/>
    </w:tblStylePr>
    <w:tblStylePr w:type="nwCell">
      <w:rPr/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FFFFFF" w:themeColor="background1" w:sz="6" w:space="0"/>
        </w:tcBorders>
        <w:shd w:val="clear" w:color="auto" w:fill="FFFFFF"/>
      </w:tcPr>
    </w:tblStylePr>
    <w:tblStylePr w:type="firstCol">
      <w:rPr/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FFFFFF"/>
      </w:tcPr>
    </w:tblStylePr>
    <w:tblStylePr w:type="lastCo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neCell">
      <w:rPr/>
      <w:tblPr/>
    </w:tblStylePr>
    <w:tblStylePr w:type="nwCell">
      <w:rPr/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color="FFFFFF" w:themeColor="background1" w:sz="12" w:space="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color="000000" w:themeColor="text1" w:sz="12" w:space="0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/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shd w:val="clear" w:color="auto" w:fill="FFFFFF"/>
      </w:tcPr>
    </w:tblStylePr>
    <w:tblStylePr w:type="firstCol">
      <w:rPr/>
      <w:tblPr/>
      <w:tcPr>
        <w:shd w:val="clear" w:color="auto" w:fill="FFFFFF"/>
      </w:tcPr>
    </w:tblStylePr>
    <w:tblStylePr w:type="lastCol">
      <w:rPr/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LibreOffice/25.8.7.3$Windows_X86_64 LibreOffice_project/30742500f2d3eb4366ac312fa33d3dcabdb3eba5</Application>
  <AppVersion>15.0000</AppVersion>
  <Pages>2</Pages>
  <Words>700</Words>
  <Characters>4469</Characters>
  <CharactersWithSpaces>5117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Zdrowa Lekcja</dc:creator>
  <dc:description>generated by python-docx</dc:description>
  <dc:language>pl-PL</dc:language>
  <cp:lastModifiedBy/>
  <dcterms:modified xsi:type="dcterms:W3CDTF">2026-07-22T14:18:33Z</dcterms:modified>
  <cp:revision>2</cp:revision>
  <dc:subject>Dwustroniczne przedmiotowe uszczegółowienie ustaleń IPET</dc:subject>
  <dc:title>Dostosowanie wymagań edukacyjnych — edukacja zdrowotna — osoba w spektrum autyzmu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