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center"/>
        <w:rPr>
          <w:rFonts w:ascii="Calibri" w:hAnsi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ZASADY OCENIANIA I WYMAGANIA EDUKACYJNE</w:t>
        <w:br/>
        <w:t>Z EDUKACJI ZDROWOTNEJ</w:t>
      </w:r>
    </w:p>
    <w:p>
      <w:pPr>
        <w:pStyle w:val="Normal"/>
        <w:jc w:val="center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klasy II–III liceum ogólnokształcącego, technikum i branżowej szkoły I stopnia</w:t>
      </w:r>
    </w:p>
    <w:p>
      <w:pPr>
        <w:pStyle w:val="Normal"/>
        <w:jc w:val="center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Nauczyciel: …………………………………..</w:t>
        <w:br/>
        <w:t>Rok szkolny 2026/2027 i następne</w:t>
        <w:br/>
        <w:t>Zakres kształcenia: podstawowy</w:t>
        <w:br/>
        <w:t>Podręcznik wiodący: Operon, nr dopuszczenia MEN 1242/1/2025</w:t>
      </w:r>
    </w:p>
    <w:p>
      <w:pPr>
        <w:pStyle w:val="Normal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Heading1"/>
        <w:rPr>
          <w:rFonts w:ascii="Calibri" w:hAnsi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I. Informacje ogólne</w:t>
      </w:r>
    </w:p>
    <w:p>
      <w:pPr>
        <w:pStyle w:val="ListBullet"/>
        <w:numPr>
          <w:ilvl w:val="0"/>
          <w:numId w:val="1"/>
        </w:numPr>
        <w:spacing w:before="0" w:after="20"/>
        <w:contextualSpacing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Dokument określa zasady oceniania bieżącego oraz wymagania edukacyjne na poszczególne oceny klasyfikacyjne z edukacji zdrowotnej.</w:t>
      </w:r>
    </w:p>
    <w:p>
      <w:pPr>
        <w:pStyle w:val="ListBullet"/>
        <w:numPr>
          <w:ilvl w:val="0"/>
          <w:numId w:val="1"/>
        </w:numPr>
        <w:spacing w:before="0" w:after="20"/>
        <w:contextualSpacing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Dotyczy uczniów klas II i III szkoły ponadpodstawowej.</w:t>
      </w:r>
    </w:p>
    <w:p>
      <w:pPr>
        <w:pStyle w:val="ListBullet"/>
        <w:numPr>
          <w:ilvl w:val="0"/>
          <w:numId w:val="1"/>
        </w:numPr>
        <w:spacing w:before="0" w:after="20"/>
        <w:contextualSpacing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Nie obejmuje odrębnego przedmiotu „edukacja zdrowotna – zdrowie seksualne”.</w:t>
      </w:r>
    </w:p>
    <w:p>
      <w:pPr>
        <w:pStyle w:val="ListBullet"/>
        <w:numPr>
          <w:ilvl w:val="0"/>
          <w:numId w:val="1"/>
        </w:numPr>
        <w:spacing w:before="0" w:after="20"/>
        <w:contextualSpacing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Wymagania stosuje się łącznie ze statutem szkoły, szkolnymi zasadami oceniania oraz dostosowaniami wynikającymi z opinii i orzeczeń poradni.</w:t>
      </w:r>
    </w:p>
    <w:p>
      <w:pPr>
        <w:pStyle w:val="ListBullet"/>
        <w:numPr>
          <w:ilvl w:val="0"/>
          <w:numId w:val="1"/>
        </w:numPr>
        <w:spacing w:before="0" w:after="20"/>
        <w:contextualSpacing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Podstawą oceniania jest stopień opanowania wiadomości i umiejętności określonych w aktualnej podstawie programowej edukacji zdrowotnej.</w:t>
      </w:r>
    </w:p>
    <w:p>
      <w:pPr>
        <w:pStyle w:val="Heading1"/>
        <w:rPr>
          <w:rFonts w:ascii="Calibri" w:hAnsi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II. Prawa ucznia</w:t>
      </w:r>
    </w:p>
    <w:p>
      <w:pPr>
        <w:pStyle w:val="ListBullet"/>
        <w:numPr>
          <w:ilvl w:val="0"/>
          <w:numId w:val="1"/>
        </w:numPr>
        <w:spacing w:before="0" w:after="20"/>
        <w:contextualSpacing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Uczeń ma prawo znać wymagania edukacyjne, zasady oceniania oraz sposoby sprawdzania osiągnięć.</w:t>
      </w:r>
    </w:p>
    <w:p>
      <w:pPr>
        <w:pStyle w:val="ListBullet"/>
        <w:numPr>
          <w:ilvl w:val="0"/>
          <w:numId w:val="1"/>
        </w:numPr>
        <w:spacing w:before="0" w:after="20"/>
        <w:contextualSpacing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Uczeń ma prawo do jasnej informacji, co opanował, nad czym powinien pracować i w jaki sposób może poprawić wynik.</w:t>
      </w:r>
    </w:p>
    <w:p>
      <w:pPr>
        <w:pStyle w:val="ListBullet"/>
        <w:numPr>
          <w:ilvl w:val="0"/>
          <w:numId w:val="1"/>
        </w:numPr>
        <w:spacing w:before="0" w:after="20"/>
        <w:contextualSpacing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Uczeń ma prawo do uzasadnienia każdej otrzymanej oceny.</w:t>
      </w:r>
    </w:p>
    <w:p>
      <w:pPr>
        <w:pStyle w:val="ListBullet"/>
        <w:numPr>
          <w:ilvl w:val="0"/>
          <w:numId w:val="1"/>
        </w:numPr>
        <w:spacing w:before="0" w:after="20"/>
        <w:contextualSpacing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Uczeń ma prawo do wglądu w sprawdzone i ocenione prace pisemne na zasadach określonych w statucie szkoły.</w:t>
      </w:r>
    </w:p>
    <w:p>
      <w:pPr>
        <w:pStyle w:val="ListBullet"/>
        <w:numPr>
          <w:ilvl w:val="0"/>
          <w:numId w:val="1"/>
        </w:numPr>
        <w:spacing w:before="0" w:after="20"/>
        <w:contextualSpacing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Uczeń ma prawo poprawiać oceny zgodnie z zasadami i terminami określonymi w statucie szkoły.</w:t>
      </w:r>
    </w:p>
    <w:p>
      <w:pPr>
        <w:pStyle w:val="ListBullet"/>
        <w:numPr>
          <w:ilvl w:val="0"/>
          <w:numId w:val="1"/>
        </w:numPr>
        <w:spacing w:before="0" w:after="20"/>
        <w:contextualSpacing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Uczeń ma prawo zgłaszać pytania dotyczące niezrozumiałych treści i oczekiwać pomocy nauczyciela.</w:t>
      </w:r>
    </w:p>
    <w:p>
      <w:pPr>
        <w:pStyle w:val="ListBullet"/>
        <w:numPr>
          <w:ilvl w:val="0"/>
          <w:numId w:val="1"/>
        </w:numPr>
        <w:spacing w:before="0" w:after="20"/>
        <w:contextualSpacing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Uczeń ma prawo do ochrony prywatności i nie ma obowiązku ujawniania osobistych danych zdrowotnych, rodzinnych ani emocjonalnych.</w:t>
      </w:r>
    </w:p>
    <w:p>
      <w:pPr>
        <w:pStyle w:val="ListBullet"/>
        <w:numPr>
          <w:ilvl w:val="0"/>
          <w:numId w:val="1"/>
        </w:numPr>
        <w:spacing w:before="0" w:after="20"/>
        <w:contextualSpacing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Uczeń może otrzymać zadanie zastępcze, jeżeli dana forma pracy wymagałaby ujawnienia informacji osobistych lub publicznej ekspozycji.</w:t>
      </w:r>
    </w:p>
    <w:p>
      <w:pPr>
        <w:pStyle w:val="Heading1"/>
        <w:rPr>
          <w:rFonts w:ascii="Calibri" w:hAnsi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III. Obowiązki ucznia</w:t>
      </w:r>
    </w:p>
    <w:p>
      <w:pPr>
        <w:pStyle w:val="ListBullet"/>
        <w:numPr>
          <w:ilvl w:val="0"/>
          <w:numId w:val="1"/>
        </w:numPr>
        <w:spacing w:before="0" w:after="20"/>
        <w:contextualSpacing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Uczeń systematycznie uczestniczy w zajęciach i wykonuje polecenia związane z realizowanym materiałem.</w:t>
      </w:r>
    </w:p>
    <w:p>
      <w:pPr>
        <w:pStyle w:val="ListBullet"/>
        <w:numPr>
          <w:ilvl w:val="0"/>
          <w:numId w:val="1"/>
        </w:numPr>
        <w:spacing w:before="0" w:after="20"/>
        <w:contextualSpacing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Uczeń prowadzi zeszyt przedmiotowy lub inną wskazaną przez nauczyciela formę dokumentowania pracy.</w:t>
      </w:r>
    </w:p>
    <w:p>
      <w:pPr>
        <w:pStyle w:val="ListBullet"/>
        <w:numPr>
          <w:ilvl w:val="0"/>
          <w:numId w:val="1"/>
        </w:numPr>
        <w:spacing w:before="0" w:after="20"/>
        <w:contextualSpacing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Uczeń jest zobowiązany do samodzielnego wykonywania prac pisemnych, praktycznych i projektowych.</w:t>
      </w:r>
    </w:p>
    <w:p>
      <w:pPr>
        <w:pStyle w:val="ListBullet"/>
        <w:numPr>
          <w:ilvl w:val="0"/>
          <w:numId w:val="1"/>
        </w:numPr>
        <w:spacing w:before="0" w:after="20"/>
        <w:contextualSpacing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Uczeń uzupełnia zaległości powstałe wskutek nieobecności w terminie uzgodnionym z nauczycielem.</w:t>
      </w:r>
    </w:p>
    <w:p>
      <w:pPr>
        <w:pStyle w:val="ListBullet"/>
        <w:numPr>
          <w:ilvl w:val="0"/>
          <w:numId w:val="1"/>
        </w:numPr>
        <w:spacing w:before="0" w:after="20"/>
        <w:contextualSpacing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Uczeń przestrzega zasad bezpieczeństwa, szacunku, ochrony prywatności i kultury wypowiedzi.</w:t>
      </w:r>
    </w:p>
    <w:p>
      <w:pPr>
        <w:pStyle w:val="ListBullet"/>
        <w:numPr>
          <w:ilvl w:val="0"/>
          <w:numId w:val="1"/>
        </w:numPr>
        <w:spacing w:before="0" w:after="20"/>
        <w:contextualSpacing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Uczeń bierze udział w co najmniej jednym doświadczeniu edukacyjnym lub projekcie w każdym roku nauki.</w:t>
      </w:r>
    </w:p>
    <w:p>
      <w:pPr>
        <w:pStyle w:val="Heading1"/>
        <w:rPr>
          <w:rFonts w:ascii="Calibri" w:hAnsi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IV. Przedmiot oceniania</w:t>
      </w:r>
    </w:p>
    <w:p>
      <w:pPr>
        <w:pStyle w:val="ListBullet"/>
        <w:numPr>
          <w:ilvl w:val="0"/>
          <w:numId w:val="1"/>
        </w:numPr>
        <w:spacing w:before="0" w:after="20"/>
        <w:contextualSpacing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wiedza i rozumienie pojęć dotyczących zdrowia fizycznego, psychicznego, społecznego i środowiskowego;</w:t>
      </w:r>
    </w:p>
    <w:p>
      <w:pPr>
        <w:pStyle w:val="ListBullet"/>
        <w:numPr>
          <w:ilvl w:val="0"/>
          <w:numId w:val="1"/>
        </w:numPr>
        <w:spacing w:before="0" w:after="20"/>
        <w:contextualSpacing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umiejętność analizowania sytuacji zdrowotnych i podejmowania odpowiedzialnych decyzji;</w:t>
      </w:r>
    </w:p>
    <w:p>
      <w:pPr>
        <w:pStyle w:val="ListBullet"/>
        <w:numPr>
          <w:ilvl w:val="0"/>
          <w:numId w:val="1"/>
        </w:numPr>
        <w:spacing w:before="0" w:after="20"/>
        <w:contextualSpacing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umiejętność wyszukiwania, porównywania i weryfikowania źródeł informacji;</w:t>
      </w:r>
    </w:p>
    <w:p>
      <w:pPr>
        <w:pStyle w:val="ListBullet"/>
        <w:numPr>
          <w:ilvl w:val="0"/>
          <w:numId w:val="1"/>
        </w:numPr>
        <w:spacing w:before="0" w:after="20"/>
        <w:contextualSpacing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umiejętność rozpoznawania dezinformacji i treści niewiarygodnych;</w:t>
      </w:r>
    </w:p>
    <w:p>
      <w:pPr>
        <w:pStyle w:val="ListBullet"/>
        <w:numPr>
          <w:ilvl w:val="0"/>
          <w:numId w:val="1"/>
        </w:numPr>
        <w:spacing w:before="0" w:after="20"/>
        <w:contextualSpacing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stosowanie wiedzy w zadaniach praktycznych i studiach przypadku;</w:t>
      </w:r>
    </w:p>
    <w:p>
      <w:pPr>
        <w:pStyle w:val="ListBullet"/>
        <w:numPr>
          <w:ilvl w:val="0"/>
          <w:numId w:val="1"/>
        </w:numPr>
        <w:spacing w:before="0" w:after="20"/>
        <w:contextualSpacing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argumentowanie, komunikowanie się i współpraca w grupie;</w:t>
      </w:r>
    </w:p>
    <w:p>
      <w:pPr>
        <w:pStyle w:val="ListBullet"/>
        <w:numPr>
          <w:ilvl w:val="0"/>
          <w:numId w:val="1"/>
        </w:numPr>
        <w:spacing w:before="0" w:after="20"/>
        <w:contextualSpacing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planowanie i realizacja projektów oraz doświadczeń edukacyjnych;</w:t>
      </w:r>
    </w:p>
    <w:p>
      <w:pPr>
        <w:pStyle w:val="ListBullet"/>
        <w:numPr>
          <w:ilvl w:val="0"/>
          <w:numId w:val="1"/>
        </w:numPr>
        <w:spacing w:before="0" w:after="20"/>
        <w:contextualSpacing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znajomość zasad profilaktyki, bezpieczeństwa i korzystania z systemu ochrony zdrowia.</w:t>
      </w:r>
    </w:p>
    <w:p>
      <w:pPr>
        <w:pStyle w:val="Normal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 xml:space="preserve">Nie podlegają ocenie: </w:t>
      </w:r>
      <w:r>
        <w:rPr>
          <w:rFonts w:ascii="Calibri" w:hAnsi="Calibri"/>
          <w:color w:val="000000"/>
          <w:sz w:val="24"/>
          <w:szCs w:val="24"/>
        </w:rPr>
        <w:t>stan zdrowia ucznia, masa ciała, wygląd, sprawność fizyczna jako cecha, osobiste doświadczenia, sytuacja rodzinna, przekonania, ujawniane emocje ani prywatne wyniki pomiarów.</w:t>
      </w:r>
    </w:p>
    <w:p>
      <w:pPr>
        <w:pStyle w:val="Heading1"/>
        <w:rPr>
          <w:rFonts w:ascii="Calibri" w:hAnsi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V. Formy sprawdzania osiągnięć</w:t>
      </w:r>
    </w:p>
    <w:tbl>
      <w:tblPr>
        <w:tblStyle w:val="TableGrid"/>
        <w:tblW w:w="997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986"/>
        <w:gridCol w:w="4986"/>
      </w:tblGrid>
      <w:tr>
        <w:trPr/>
        <w:tc>
          <w:tcPr>
            <w:tcW w:w="4986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b/>
                <w:color w:val="000000"/>
                <w:kern w:val="0"/>
                <w:sz w:val="24"/>
                <w:szCs w:val="24"/>
                <w:lang w:val="en-US" w:eastAsia="en-US" w:bidi="ar-SA"/>
              </w:rPr>
              <w:t>Forma</w:t>
            </w:r>
          </w:p>
        </w:tc>
        <w:tc>
          <w:tcPr>
            <w:tcW w:w="4986" w:type="dxa"/>
            <w:tcBorders/>
            <w:shd w:fill="FFFFFF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b/>
                <w:color w:val="000000"/>
                <w:kern w:val="0"/>
                <w:sz w:val="24"/>
                <w:szCs w:val="24"/>
                <w:lang w:val="en-US" w:eastAsia="en-US" w:bidi="ar-SA"/>
              </w:rPr>
              <w:t>Zakres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Sprawdziany i testy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obejmują większą partię materiału; są zapowiadane zgodnie ze statutem szkoły.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Kartkówki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obejmują krótką partię materiału; zasady zapowiadania wynikają ze statutu szkoły.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Odpowiedzi ustne i dyskusje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sprawdzają rozumienie pojęć, argumentowanie, analizę sytuacji i kulturę wypowiedzi.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Zadania praktyczne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np. analiza ulotki leku, interpretacja przykładowych wyników, wyszukiwanie placówki, symulacja rozmowy z dyspozytorem.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Projekty i doświadczenia edukacyjne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sprawdzają planowanie, dobór źródeł, współpracę, samodzielność, wykonanie i ewaluację.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Prezentacje, plakaty, infografiki, filmy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oceniane są pod względem poprawności merytorycznej, jakości źródeł, komunikatywności i zgodności z prawem autorskim.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Aktywność na lekcji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obejmuje merytoryczny udział w zadaniach, dyskusjach i pracy zespołowej.</w:t>
            </w:r>
          </w:p>
        </w:tc>
      </w:tr>
    </w:tbl>
    <w:p>
      <w:pPr>
        <w:pStyle w:val="Heading1"/>
        <w:rPr>
          <w:rFonts w:ascii="Calibri" w:hAnsi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VI. Zasady ustalania ocen</w:t>
      </w:r>
    </w:p>
    <w:p>
      <w:pPr>
        <w:pStyle w:val="ListBullet"/>
        <w:numPr>
          <w:ilvl w:val="0"/>
          <w:numId w:val="1"/>
        </w:numPr>
        <w:spacing w:before="0" w:after="20"/>
        <w:contextualSpacing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Ocena śródroczna i roczna nie jest prostą średnią arytmetyczną ocen bieżących.</w:t>
      </w:r>
    </w:p>
    <w:p>
      <w:pPr>
        <w:pStyle w:val="ListBullet"/>
        <w:numPr>
          <w:ilvl w:val="0"/>
          <w:numId w:val="1"/>
        </w:numPr>
        <w:spacing w:before="0" w:after="20"/>
        <w:contextualSpacing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Przy ustalaniu oceny bierze się pod uwagę stopień opanowania wymagań, samodzielność, jakość rozumowania, umiejętności praktyczne, systematyczność, postęp oraz wykonanie obowiązkowych zadań i projektu.</w:t>
      </w:r>
    </w:p>
    <w:p>
      <w:pPr>
        <w:pStyle w:val="ListBullet"/>
        <w:numPr>
          <w:ilvl w:val="0"/>
          <w:numId w:val="1"/>
        </w:numPr>
        <w:spacing w:before="0" w:after="20"/>
        <w:contextualSpacing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Największe znaczenie mają sprawdziany, zadania praktyczne, projekty i inne formy sprawdzające opanowanie wymagań podstawy programowej.</w:t>
      </w:r>
    </w:p>
    <w:p>
      <w:pPr>
        <w:pStyle w:val="ListBullet"/>
        <w:numPr>
          <w:ilvl w:val="0"/>
          <w:numId w:val="1"/>
        </w:numPr>
        <w:spacing w:before="0" w:after="20"/>
        <w:contextualSpacing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Nieobecność usprawiedliwiona nie jest oceniana negatywnie. Uczeń uzupełnia pracę w uzgodnionym terminie.</w:t>
      </w:r>
    </w:p>
    <w:p>
      <w:pPr>
        <w:pStyle w:val="ListBullet"/>
        <w:numPr>
          <w:ilvl w:val="0"/>
          <w:numId w:val="1"/>
        </w:numPr>
        <w:spacing w:before="0" w:after="20"/>
        <w:contextualSpacing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W przypadku poprawy sprawdzianu pod uwagę bierze się wynik korzystniejszy dla ucznia, jeżeli statut szkoły nie stanowi inaczej.</w:t>
      </w:r>
    </w:p>
    <w:p>
      <w:pPr>
        <w:pStyle w:val="ListBullet"/>
        <w:numPr>
          <w:ilvl w:val="0"/>
          <w:numId w:val="1"/>
        </w:numPr>
        <w:spacing w:before="0" w:after="20"/>
        <w:contextualSpacing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Prace wykonywane niesamodzielnie podlegają ponownemu wykonaniu według zasad określonych w statucie szkoły.</w:t>
      </w:r>
    </w:p>
    <w:p>
      <w:pPr>
        <w:pStyle w:val="ListBullet"/>
        <w:numPr>
          <w:ilvl w:val="0"/>
          <w:numId w:val="1"/>
        </w:numPr>
        <w:spacing w:before="0" w:after="20"/>
        <w:contextualSpacing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Progi procentowe stosuje się zgodnie z zasadami obowiązującymi w szkole.</w:t>
      </w:r>
    </w:p>
    <w:p>
      <w:pPr>
        <w:pStyle w:val="Normal"/>
        <w:numPr>
          <w:ilvl w:val="0"/>
          <w:numId w:val="1"/>
        </w:numPr>
        <w:spacing w:lineRule="exact" w:line="240"/>
        <w:jc w:val="both"/>
        <w:rPr>
          <w:rFonts w:ascii="Times New Roman" w:hAnsi="Times New Roman" w:eastAsia="Arial" w:cs="Times New Roman"/>
          <w:sz w:val="24"/>
        </w:rPr>
      </w:pPr>
      <w:r>
        <w:rPr>
          <w:rFonts w:eastAsia="Arial" w:cs="Times New Roman" w:ascii="Calibri" w:hAnsi="Calibri"/>
          <w:color w:val="000000"/>
          <w:sz w:val="24"/>
        </w:rPr>
        <w:t>Sprawdziany oceniane są w skali 1-6 według następującej  skali procentowej:</w:t>
      </w:r>
    </w:p>
    <w:p>
      <w:pPr>
        <w:pStyle w:val="Normal"/>
        <w:numPr>
          <w:ilvl w:val="0"/>
          <w:numId w:val="0"/>
        </w:numPr>
        <w:spacing w:lineRule="exact" w:line="240"/>
        <w:ind w:hanging="0" w:start="1080"/>
        <w:jc w:val="both"/>
        <w:rPr>
          <w:rFonts w:ascii="Times New Roman" w:hAnsi="Times New Roman" w:eastAsia="Arial" w:cs="Times New Roman"/>
          <w:sz w:val="24"/>
        </w:rPr>
      </w:pPr>
      <w:r>
        <w:rPr>
          <w:rFonts w:eastAsia="Arial" w:cs="Times New Roman" w:ascii="Times New Roman" w:hAnsi="Times New Roman"/>
          <w:sz w:val="24"/>
        </w:rPr>
      </w:r>
    </w:p>
    <w:tbl>
      <w:tblPr>
        <w:tblW w:w="6045" w:type="dxa"/>
        <w:jc w:val="start"/>
        <w:tblInd w:w="1151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val="0000"/>
      </w:tblPr>
      <w:tblGrid>
        <w:gridCol w:w="2624"/>
        <w:gridCol w:w="3421"/>
      </w:tblGrid>
      <w:tr>
        <w:trPr>
          <w:trHeight w:val="431" w:hRule="atLeast"/>
        </w:trPr>
        <w:tc>
          <w:tcPr>
            <w:tcW w:w="262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exact" w:line="240" w:before="0" w:after="200"/>
              <w:ind w:start="682"/>
              <w:rPr>
                <w:rFonts w:ascii="Calibri" w:hAnsi="Calibri"/>
                <w:b w:val="false"/>
                <w:bCs w:val="false"/>
              </w:rPr>
            </w:pPr>
            <w:r>
              <w:rPr>
                <w:rFonts w:eastAsia="Arial" w:cs="Times New Roman" w:ascii="Calibri" w:hAnsi="Calibri"/>
                <w:b w:val="false"/>
                <w:bCs w:val="false"/>
                <w:color w:val="000000"/>
                <w:sz w:val="24"/>
              </w:rPr>
              <w:t>Ocena</w:t>
            </w:r>
          </w:p>
        </w:tc>
        <w:tc>
          <w:tcPr>
            <w:tcW w:w="342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exact" w:line="240" w:before="0" w:after="200"/>
              <w:rPr>
                <w:rFonts w:ascii="Calibri" w:hAnsi="Calibri"/>
                <w:b w:val="false"/>
                <w:bCs w:val="false"/>
              </w:rPr>
            </w:pPr>
            <w:r>
              <w:rPr>
                <w:rFonts w:eastAsia="Arial" w:cs="Times New Roman" w:ascii="Calibri" w:hAnsi="Calibri"/>
                <w:b w:val="false"/>
                <w:bCs w:val="false"/>
                <w:color w:val="000000"/>
                <w:sz w:val="24"/>
              </w:rPr>
              <w:t>Skala procentowa</w:t>
            </w:r>
          </w:p>
        </w:tc>
      </w:tr>
      <w:tr>
        <w:trPr>
          <w:trHeight w:val="414" w:hRule="atLeast"/>
        </w:trPr>
        <w:tc>
          <w:tcPr>
            <w:tcW w:w="262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exact" w:line="240" w:before="0" w:after="200"/>
              <w:rPr>
                <w:rFonts w:ascii="Calibri" w:hAnsi="Calibri"/>
                <w:b w:val="false"/>
                <w:bCs w:val="false"/>
              </w:rPr>
            </w:pPr>
            <w:r>
              <w:rPr>
                <w:rFonts w:eastAsia="Arial" w:cs="Times New Roman" w:ascii="Calibri" w:hAnsi="Calibri"/>
                <w:b w:val="false"/>
                <w:bCs w:val="false"/>
                <w:color w:val="000000"/>
                <w:sz w:val="24"/>
              </w:rPr>
              <w:t>niedostateczny</w:t>
            </w:r>
          </w:p>
        </w:tc>
        <w:tc>
          <w:tcPr>
            <w:tcW w:w="342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exact" w:line="240" w:before="0" w:after="200"/>
              <w:rPr>
                <w:rFonts w:ascii="Calibri" w:hAnsi="Calibri"/>
                <w:b w:val="false"/>
                <w:bCs w:val="false"/>
              </w:rPr>
            </w:pPr>
            <w:r>
              <w:rPr>
                <w:rFonts w:eastAsia="Arial" w:cs="Times New Roman" w:ascii="Calibri" w:hAnsi="Calibri"/>
                <w:b w:val="false"/>
                <w:bCs w:val="false"/>
                <w:color w:val="000000"/>
                <w:sz w:val="24"/>
              </w:rPr>
              <w:t>0%-39%</w:t>
            </w:r>
          </w:p>
        </w:tc>
      </w:tr>
      <w:tr>
        <w:trPr>
          <w:trHeight w:val="390" w:hRule="atLeast"/>
        </w:trPr>
        <w:tc>
          <w:tcPr>
            <w:tcW w:w="262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exact" w:line="240" w:before="0" w:after="200"/>
              <w:rPr>
                <w:rFonts w:ascii="Calibri" w:hAnsi="Calibri"/>
                <w:b w:val="false"/>
                <w:bCs w:val="false"/>
              </w:rPr>
            </w:pPr>
            <w:r>
              <w:rPr>
                <w:rFonts w:eastAsia="Arial" w:cs="Times New Roman" w:ascii="Calibri" w:hAnsi="Calibri"/>
                <w:b w:val="false"/>
                <w:bCs w:val="false"/>
                <w:color w:val="000000"/>
                <w:sz w:val="24"/>
              </w:rPr>
              <w:t>dopuszczający</w:t>
            </w:r>
          </w:p>
        </w:tc>
        <w:tc>
          <w:tcPr>
            <w:tcW w:w="342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exact" w:line="240" w:before="0" w:after="200"/>
              <w:rPr>
                <w:rFonts w:ascii="Calibri" w:hAnsi="Calibri"/>
                <w:b w:val="false"/>
                <w:bCs w:val="false"/>
              </w:rPr>
            </w:pPr>
            <w:r>
              <w:rPr>
                <w:rFonts w:eastAsia="Arial" w:cs="Times New Roman" w:ascii="Calibri" w:hAnsi="Calibri"/>
                <w:b w:val="false"/>
                <w:bCs w:val="false"/>
                <w:color w:val="000000"/>
                <w:sz w:val="24"/>
              </w:rPr>
              <w:t>40%-55%</w:t>
            </w:r>
          </w:p>
        </w:tc>
      </w:tr>
      <w:tr>
        <w:trPr>
          <w:trHeight w:val="570" w:hRule="atLeast"/>
        </w:trPr>
        <w:tc>
          <w:tcPr>
            <w:tcW w:w="262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exact" w:line="240" w:before="0" w:after="200"/>
              <w:rPr>
                <w:rFonts w:ascii="Calibri" w:hAnsi="Calibri"/>
                <w:b w:val="false"/>
                <w:bCs w:val="false"/>
              </w:rPr>
            </w:pPr>
            <w:r>
              <w:rPr>
                <w:rFonts w:eastAsia="Arial" w:cs="Times New Roman" w:ascii="Calibri" w:hAnsi="Calibri"/>
                <w:b w:val="false"/>
                <w:bCs w:val="false"/>
                <w:color w:val="000000"/>
                <w:sz w:val="24"/>
              </w:rPr>
              <w:t>dostateczny</w:t>
            </w:r>
          </w:p>
        </w:tc>
        <w:tc>
          <w:tcPr>
            <w:tcW w:w="342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exact" w:line="240" w:before="0" w:after="200"/>
              <w:rPr>
                <w:rFonts w:ascii="Calibri" w:hAnsi="Calibri"/>
                <w:b w:val="false"/>
                <w:bCs w:val="false"/>
              </w:rPr>
            </w:pPr>
            <w:r>
              <w:rPr>
                <w:rFonts w:eastAsia="Arial" w:cs="Times New Roman" w:ascii="Calibri" w:hAnsi="Calibri"/>
                <w:b w:val="false"/>
                <w:bCs w:val="false"/>
                <w:color w:val="000000"/>
                <w:sz w:val="24"/>
              </w:rPr>
              <w:t>56%-70%</w:t>
            </w:r>
          </w:p>
        </w:tc>
      </w:tr>
      <w:tr>
        <w:trPr>
          <w:trHeight w:val="615" w:hRule="atLeast"/>
        </w:trPr>
        <w:tc>
          <w:tcPr>
            <w:tcW w:w="262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exact" w:line="240" w:before="0" w:after="200"/>
              <w:rPr>
                <w:rFonts w:ascii="Calibri" w:hAnsi="Calibri"/>
                <w:b w:val="false"/>
                <w:bCs w:val="false"/>
              </w:rPr>
            </w:pPr>
            <w:r>
              <w:rPr>
                <w:rFonts w:eastAsia="Arial" w:cs="Times New Roman" w:ascii="Calibri" w:hAnsi="Calibri"/>
                <w:b w:val="false"/>
                <w:bCs w:val="false"/>
                <w:color w:val="000000"/>
                <w:sz w:val="24"/>
              </w:rPr>
              <w:t>dobry</w:t>
            </w:r>
          </w:p>
        </w:tc>
        <w:tc>
          <w:tcPr>
            <w:tcW w:w="342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exact" w:line="240" w:before="0" w:after="200"/>
              <w:rPr>
                <w:rFonts w:ascii="Calibri" w:hAnsi="Calibri"/>
                <w:b w:val="false"/>
                <w:bCs w:val="false"/>
              </w:rPr>
            </w:pPr>
            <w:r>
              <w:rPr>
                <w:rFonts w:eastAsia="Arial" w:cs="Times New Roman" w:ascii="Calibri" w:hAnsi="Calibri"/>
                <w:b w:val="false"/>
                <w:bCs w:val="false"/>
                <w:color w:val="000000"/>
                <w:sz w:val="24"/>
              </w:rPr>
              <w:t>71%-85%</w:t>
            </w:r>
          </w:p>
        </w:tc>
      </w:tr>
      <w:tr>
        <w:trPr>
          <w:trHeight w:val="465" w:hRule="atLeast"/>
        </w:trPr>
        <w:tc>
          <w:tcPr>
            <w:tcW w:w="262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exact" w:line="240" w:before="0" w:after="200"/>
              <w:rPr>
                <w:rFonts w:ascii="Calibri" w:hAnsi="Calibri"/>
                <w:b w:val="false"/>
                <w:bCs w:val="false"/>
              </w:rPr>
            </w:pPr>
            <w:r>
              <w:rPr>
                <w:rFonts w:eastAsia="Arial" w:cs="Times New Roman" w:ascii="Calibri" w:hAnsi="Calibri"/>
                <w:b w:val="false"/>
                <w:bCs w:val="false"/>
                <w:color w:val="000000"/>
                <w:sz w:val="24"/>
              </w:rPr>
              <w:t>b</w:t>
            </w:r>
            <w:r>
              <w:rPr>
                <w:rFonts w:eastAsia="Arial" w:cs="Times New Roman" w:ascii="Calibri" w:hAnsi="Calibri"/>
                <w:b w:val="false"/>
                <w:bCs w:val="false"/>
                <w:color w:val="000000"/>
                <w:sz w:val="24"/>
              </w:rPr>
              <w:t>ardzo dobry</w:t>
            </w:r>
          </w:p>
        </w:tc>
        <w:tc>
          <w:tcPr>
            <w:tcW w:w="342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exact" w:line="240" w:before="0" w:after="200"/>
              <w:rPr>
                <w:rFonts w:ascii="Calibri" w:hAnsi="Calibri"/>
                <w:b w:val="false"/>
                <w:bCs w:val="false"/>
              </w:rPr>
            </w:pPr>
            <w:r>
              <w:rPr>
                <w:rFonts w:eastAsia="Arial" w:cs="Times New Roman" w:ascii="Calibri" w:hAnsi="Calibri"/>
                <w:b w:val="false"/>
                <w:bCs w:val="false"/>
                <w:color w:val="000000"/>
                <w:sz w:val="24"/>
              </w:rPr>
              <w:t>86%-97%</w:t>
            </w:r>
          </w:p>
        </w:tc>
      </w:tr>
      <w:tr>
        <w:trPr>
          <w:trHeight w:val="394" w:hRule="atLeast"/>
        </w:trPr>
        <w:tc>
          <w:tcPr>
            <w:tcW w:w="2624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exact" w:line="240" w:before="0" w:after="200"/>
              <w:rPr>
                <w:rFonts w:ascii="Calibri" w:hAnsi="Calibri"/>
                <w:b w:val="false"/>
                <w:bCs w:val="false"/>
              </w:rPr>
            </w:pPr>
            <w:r>
              <w:rPr>
                <w:rFonts w:eastAsia="Arial" w:cs="Times New Roman" w:ascii="Calibri" w:hAnsi="Calibri"/>
                <w:b w:val="false"/>
                <w:bCs w:val="false"/>
                <w:color w:val="000000"/>
                <w:sz w:val="24"/>
              </w:rPr>
              <w:t>celujący</w:t>
            </w:r>
          </w:p>
        </w:tc>
        <w:tc>
          <w:tcPr>
            <w:tcW w:w="342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exact" w:line="240" w:before="0" w:after="200"/>
              <w:rPr>
                <w:rFonts w:ascii="Calibri" w:hAnsi="Calibri"/>
                <w:b w:val="false"/>
                <w:bCs w:val="false"/>
              </w:rPr>
            </w:pPr>
            <w:r>
              <w:rPr>
                <w:rFonts w:eastAsia="Arial" w:cs="Times New Roman" w:ascii="Calibri" w:hAnsi="Calibri"/>
                <w:b w:val="false"/>
                <w:bCs w:val="false"/>
                <w:color w:val="000000"/>
                <w:sz w:val="24"/>
              </w:rPr>
              <w:t>98-100%</w:t>
            </w:r>
          </w:p>
        </w:tc>
      </w:tr>
    </w:tbl>
    <w:p>
      <w:pPr>
        <w:pStyle w:val="Normal"/>
        <w:numPr>
          <w:ilvl w:val="0"/>
          <w:numId w:val="0"/>
        </w:numPr>
        <w:spacing w:lineRule="exact" w:line="240"/>
        <w:ind w:hanging="0" w:start="360"/>
        <w:jc w:val="both"/>
        <w:rPr>
          <w:rFonts w:ascii="Times New Roman" w:hAnsi="Times New Roman" w:eastAsia="Arial" w:cs="Times New Roman"/>
          <w:sz w:val="24"/>
        </w:rPr>
      </w:pPr>
      <w:r>
        <w:rPr>
          <w:rFonts w:eastAsia="Arial" w:cs="Times New Roman" w:ascii="Times New Roman" w:hAnsi="Times New Roman"/>
          <w:sz w:val="24"/>
        </w:rPr>
      </w:r>
    </w:p>
    <w:p>
      <w:pPr>
        <w:pStyle w:val="Heading1"/>
        <w:rPr>
          <w:rFonts w:ascii="Calibri" w:hAnsi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VII. Ogólne wymagania na poszczególne oceny</w:t>
      </w:r>
    </w:p>
    <w:tbl>
      <w:tblPr>
        <w:tblStyle w:val="TableGrid"/>
        <w:tblW w:w="997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986"/>
        <w:gridCol w:w="4986"/>
      </w:tblGrid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b/>
                <w:color w:val="000000"/>
                <w:kern w:val="0"/>
                <w:sz w:val="24"/>
                <w:szCs w:val="24"/>
                <w:lang w:val="en-US" w:eastAsia="en-US" w:bidi="ar-SA"/>
              </w:rPr>
              <w:t>Ocena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b/>
                <w:color w:val="000000"/>
                <w:kern w:val="0"/>
                <w:sz w:val="24"/>
                <w:szCs w:val="24"/>
                <w:lang w:val="en-US" w:eastAsia="en-US" w:bidi="ar-SA"/>
              </w:rPr>
              <w:t>Charakterystyka wymagań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6 – celujący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Uczeń spełnia wymagania na ocenę bardzo dobrą, a ponadto samodzielnie łączy wiedzę z wielu działów, krytycznie ocenia dowody, proponuje oryginalne i wykonalne rozwiązania, inicjuje działania prozdrowotne lub wykonuje zadania o podwyższonym stopniu złożoności.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5 – bardzo dobry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Uczeń w pełni opanował wymagania obowiązkowe, samodzielnie stosuje wiedzę w nowych sytuacjach, poprawnie analizuje źródła i przypadki, uzasadnia decyzje oraz sprawnie wykonuje zadania praktyczne.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4 – dobry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Uczeń opanował większość wymagań, rozumie główne zależności, poprawnie stosuje wiedzę w typowych sytuacjach, analizuje źródła z niewielką pomocą i wykonuje zadania praktyczne z drobnymi uchybieniami.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3 – dostateczny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Uczeń opanował podstawowe wiadomości i umiejętności, rozwiązuje typowe zadania według wskazówek, rozpoznaje najważniejsze zagrożenia i zasady profilaktyki, lecz ma trudność z pogłębionym uzasadnianiem.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2 – dopuszczający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Uczeń opanował minimum konieczne do dalszego uczenia się; z pomocą rozpoznaje podstawowe pojęcia, zagrożenia, instytucje i proste procedury oraz wykonuje nieskomplikowane zadania.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1 – niedostateczny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Uczeń nie opanował minimum wymagań, nie rozpoznaje podstawowych pojęć i procedur nawet z pomocą, nie wykonuje prostych zadań lub nie stosuje kluczowych zasad bezpieczeństwa mimo udzielonego wsparcia i możliwości poprawy.</w:t>
            </w:r>
          </w:p>
        </w:tc>
      </w:tr>
    </w:tbl>
    <w:p>
      <w:pPr>
        <w:pStyle w:val="Heading1"/>
        <w:spacing w:before="0" w:after="80"/>
        <w:rPr>
          <w:rFonts w:ascii="Calibri" w:hAnsi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Heading1"/>
        <w:spacing w:before="0" w:after="80"/>
        <w:rPr>
          <w:rFonts w:ascii="Calibri" w:hAnsi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VIII. Wymagania edukacyjne w poszczególnych działach</w:t>
      </w:r>
    </w:p>
    <w:p>
      <w:pPr>
        <w:pStyle w:val="Normal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Wymagania mają charakter kumulatywny: uczeń otrzymujący ocenę wyższą powinien również spełniać wymagania określone dla ocen niższych.</w:t>
      </w:r>
    </w:p>
    <w:p>
      <w:pPr>
        <w:pStyle w:val="Heading2"/>
        <w:rPr>
          <w:rFonts w:ascii="Calibri" w:hAnsi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I. Wartości i postawy</w:t>
      </w:r>
    </w:p>
    <w:tbl>
      <w:tblPr>
        <w:tblStyle w:val="TableGrid"/>
        <w:tblW w:w="997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986"/>
        <w:gridCol w:w="4986"/>
      </w:tblGrid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b/>
                <w:color w:val="000000"/>
                <w:kern w:val="0"/>
                <w:sz w:val="24"/>
                <w:szCs w:val="24"/>
                <w:lang w:val="en-US" w:eastAsia="en-US" w:bidi="ar-SA"/>
              </w:rPr>
              <w:t>Ocena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b/>
                <w:color w:val="000000"/>
                <w:kern w:val="0"/>
                <w:sz w:val="24"/>
                <w:szCs w:val="24"/>
                <w:lang w:val="en-US" w:eastAsia="en-US" w:bidi="ar-SA"/>
              </w:rPr>
              <w:t>Uczeń: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2 – dopuszczający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Z pomocą wyjaśnia znaczenie godności, szacunku, altruizmu i wolontariatu; rozpoznaje jawną dyskryminację; podaje przykład dawstwa lub działania pomocowego.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3 – dostateczny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Wyjaśnia zależności między godnością, różnorodnością i zdrowiem; opisuje znaczenie krwiodawstwa, dawstwa komórek, tkanek i narządów; wskazuje zasady bezpiecznego wolontariatu.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4 – dobry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Analizuje przykłady uprzedzeń i dyskryminacji, proponuje adekwatne reakcje; porównuje formy dawstwa; planuje proste działanie prospołeczne.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5 – bardzo dobry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Samodzielnie uzasadnia znaczenie godności i szacunku; ocenia etyczne i społeczne aspekty dawstwa; tworzy realistyczny plan działania wolontariackiego.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6 – celujący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Integruje perspektywę etyczną, społeczną i zdrowotną; inicjuje działanie, dokumentuje je i dokonuje krytycznej ewaluacji.</w:t>
            </w:r>
          </w:p>
        </w:tc>
      </w:tr>
    </w:tbl>
    <w:p>
      <w:pPr>
        <w:pStyle w:val="Normal"/>
        <w:spacing w:before="0" w:after="6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 xml:space="preserve">Ocena niedostateczna (1): </w:t>
      </w:r>
      <w:r>
        <w:rPr>
          <w:rFonts w:ascii="Calibri" w:hAnsi="Calibri"/>
          <w:color w:val="000000"/>
          <w:sz w:val="24"/>
          <w:szCs w:val="24"/>
        </w:rPr>
        <w:t>uczeń nie spełnia wymagań koniecznych na ocenę dopuszczającą i nie potrafi wykonać podstawowych zadań nawet przy wsparciu.</w:t>
      </w:r>
    </w:p>
    <w:p>
      <w:pPr>
        <w:pStyle w:val="Heading2"/>
        <w:rPr>
          <w:rFonts w:ascii="Calibri" w:hAnsi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II. Zdrowie fizyczne</w:t>
      </w:r>
    </w:p>
    <w:tbl>
      <w:tblPr>
        <w:tblStyle w:val="TableGrid"/>
        <w:tblW w:w="997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986"/>
        <w:gridCol w:w="4986"/>
      </w:tblGrid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b/>
                <w:color w:val="000000"/>
                <w:kern w:val="0"/>
                <w:sz w:val="24"/>
                <w:szCs w:val="24"/>
                <w:lang w:val="en-US" w:eastAsia="en-US" w:bidi="ar-SA"/>
              </w:rPr>
              <w:t>Ocena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b/>
                <w:color w:val="000000"/>
                <w:kern w:val="0"/>
                <w:sz w:val="24"/>
                <w:szCs w:val="24"/>
                <w:lang w:val="en-US" w:eastAsia="en-US" w:bidi="ar-SA"/>
              </w:rPr>
              <w:t>Uczeń: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2 – dopuszczający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Rozpoznaje podstawowe elementy zdrowego stylu życia, wybrane badania profilaktyczne i znaczenie wczesnego wykrywania chorób; z pomocą odczytuje prosty wynik pomiaru.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3 – dostateczny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Wyjaśnia znaczenie profilaktyki stomatologicznej, kardiologicznej i onkologicznej; wymienia podstawowe badania; opisuje zasady samobadania i antybiotykooporności.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4 – dobry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Dobiera działania profilaktyczne do etapu życia; poprawnie wykonuje modelowy pomiar ciśnienia i interpretuje wynik; oblicza BMI na danych przykładowych; wyjaśnia zasady dawstwa.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5 – bardzo dobry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Analizuje czynniki ryzyka i korzyści programów profilaktycznych; uzasadnia decyzje na podstawie wiarygodnych źródeł; łączy profilaktykę z jakością życia i chorobami przewlekłymi.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6 – celujący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Krytycznie porównuje zalecenia z kilku źródeł i projektuje kompleksowe działanie profilaktyczne lub rozwiązuje złożone studium przypadku.</w:t>
            </w:r>
          </w:p>
        </w:tc>
      </w:tr>
    </w:tbl>
    <w:p>
      <w:pPr>
        <w:pStyle w:val="Normal"/>
        <w:spacing w:before="0" w:after="6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 xml:space="preserve">Ocena niedostateczna (1): </w:t>
      </w:r>
      <w:r>
        <w:rPr>
          <w:rFonts w:ascii="Calibri" w:hAnsi="Calibri"/>
          <w:color w:val="000000"/>
          <w:sz w:val="24"/>
          <w:szCs w:val="24"/>
        </w:rPr>
        <w:t>uczeń nie spełnia wymagań koniecznych na ocenę dopuszczającą i nie potrafi wykonać podstawowych zadań nawet przy wsparciu.</w:t>
      </w:r>
    </w:p>
    <w:p>
      <w:pPr>
        <w:pStyle w:val="Heading2"/>
        <w:rPr>
          <w:rFonts w:ascii="Calibri" w:hAnsi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III. Aktywność fizyczna</w:t>
      </w:r>
    </w:p>
    <w:tbl>
      <w:tblPr>
        <w:tblStyle w:val="TableGrid"/>
        <w:tblW w:w="997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986"/>
        <w:gridCol w:w="4986"/>
      </w:tblGrid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b/>
                <w:color w:val="000000"/>
                <w:kern w:val="0"/>
                <w:sz w:val="24"/>
                <w:szCs w:val="24"/>
                <w:lang w:val="en-US" w:eastAsia="en-US" w:bidi="ar-SA"/>
              </w:rPr>
              <w:t>Ocena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b/>
                <w:color w:val="000000"/>
                <w:kern w:val="0"/>
                <w:sz w:val="24"/>
                <w:szCs w:val="24"/>
                <w:lang w:val="en-US" w:eastAsia="en-US" w:bidi="ar-SA"/>
              </w:rPr>
              <w:t>Uczeń: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2 – dopuszczający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Wymienia korzyści ruchu i zagrożenia bezczynności; z pomocą wskazuje bezpieczne formy aktywności i podstawowe zagrożenia związane z nadmiernym wysiłkiem.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3 – dostateczny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Dobiera prostą aktywność do wieku i potrzeb; opisuje sposoby ograniczania siedzącego trybu życia; wyjaśnia zasady bezpieczeństwa podczas wysiłku i wycieczki.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4 – dobry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Układa prosty program aktywności oparty na rekomendacjach; analizuje bariery różnych grup; planuje trasę wycieczki z uwzględnieniem bezpieczeństwa i zrównoważonej turystyki.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5 – bardzo dobry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Samodzielnie uzasadnia dobór aktywności dla osób o zróżnicowanych potrzebach; ocenia źródła; przewiduje ryzyka nadmiernego wysiłku, smogu i ćwiczeń kompulsywnych.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6 – celujący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Tworzy i ewaluuje kompleksowy program lub wydarzenie promujące aktywność, oparte na dowodach i dostępne dla różnych grup.</w:t>
            </w:r>
          </w:p>
        </w:tc>
      </w:tr>
    </w:tbl>
    <w:p>
      <w:pPr>
        <w:pStyle w:val="Normal"/>
        <w:spacing w:before="0" w:after="6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 xml:space="preserve">Ocena niedostateczna (1): </w:t>
      </w:r>
      <w:r>
        <w:rPr>
          <w:rFonts w:ascii="Calibri" w:hAnsi="Calibri"/>
          <w:color w:val="000000"/>
          <w:sz w:val="24"/>
          <w:szCs w:val="24"/>
        </w:rPr>
        <w:t>uczeń nie spełnia wymagań koniecznych na ocenę dopuszczającą i nie potrafi wykonać podstawowych zadań nawet przy wsparciu.</w:t>
      </w:r>
    </w:p>
    <w:p>
      <w:pPr>
        <w:pStyle w:val="Heading2"/>
        <w:rPr>
          <w:rFonts w:ascii="Calibri" w:hAnsi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IV. Odżywianie</w:t>
      </w:r>
    </w:p>
    <w:tbl>
      <w:tblPr>
        <w:tblStyle w:val="TableGrid"/>
        <w:tblW w:w="997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986"/>
        <w:gridCol w:w="4986"/>
      </w:tblGrid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b/>
                <w:color w:val="000000"/>
                <w:kern w:val="0"/>
                <w:sz w:val="24"/>
                <w:szCs w:val="24"/>
                <w:lang w:val="en-US" w:eastAsia="en-US" w:bidi="ar-SA"/>
              </w:rPr>
              <w:t>Ocena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b/>
                <w:color w:val="000000"/>
                <w:kern w:val="0"/>
                <w:sz w:val="24"/>
                <w:szCs w:val="24"/>
                <w:lang w:val="en-US" w:eastAsia="en-US" w:bidi="ar-SA"/>
              </w:rPr>
              <w:t>Uczeń: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2 – dopuszczający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Rozpoznaje podstawowe zasady zbilansowanego żywienia, wskazuje produkty o różnym stopniu przetworzenia oraz odróżnia reklamę od informacji.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3 – dostateczny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Planuje prosty zbilansowany jadłospis na podstawie zaleceń; wyjaśnia wpływ przetwarzania żywności; opisuje wpływ reklam i trendów.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4 – dobry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Porównuje zbilansowane modele żywienia, analizuje etykiety i uzasadnia wybory; wyjaśnia założenia strategii „od pola do stołu”.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5 – bardzo dobry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Samodzielnie projektuje plan posiłków dla wskazanej sytuacji, korzysta z wiarygodnych źródeł i ocenia wpływ zdrowotny, kosztowy i środowiskowy.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6 – celujący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Opracowuje pogłębioną analizę lub projekt promujący zrównoważone wybory żywieniowe oraz dokonuje ewaluacji efektów.</w:t>
            </w:r>
          </w:p>
        </w:tc>
      </w:tr>
    </w:tbl>
    <w:p>
      <w:pPr>
        <w:pStyle w:val="Normal"/>
        <w:spacing w:before="0" w:after="6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 xml:space="preserve">Ocena niedostateczna (1): </w:t>
      </w:r>
      <w:r>
        <w:rPr>
          <w:rFonts w:ascii="Calibri" w:hAnsi="Calibri"/>
          <w:color w:val="000000"/>
          <w:sz w:val="24"/>
          <w:szCs w:val="24"/>
        </w:rPr>
        <w:t>uczeń nie spełnia wymagań koniecznych na ocenę dopuszczającą i nie potrafi wykonać podstawowych zadań nawet przy wsparciu.</w:t>
      </w:r>
    </w:p>
    <w:p>
      <w:pPr>
        <w:pStyle w:val="Heading2"/>
        <w:rPr>
          <w:rFonts w:ascii="Calibri" w:hAnsi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V. Zdrowie psychiczne</w:t>
      </w:r>
    </w:p>
    <w:tbl>
      <w:tblPr>
        <w:tblStyle w:val="TableGrid"/>
        <w:tblW w:w="997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986"/>
        <w:gridCol w:w="4986"/>
      </w:tblGrid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b/>
                <w:color w:val="000000"/>
                <w:kern w:val="0"/>
                <w:sz w:val="24"/>
                <w:szCs w:val="24"/>
                <w:lang w:val="en-US" w:eastAsia="en-US" w:bidi="ar-SA"/>
              </w:rPr>
              <w:t>Ocena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b/>
                <w:color w:val="000000"/>
                <w:kern w:val="0"/>
                <w:sz w:val="24"/>
                <w:szCs w:val="24"/>
                <w:lang w:val="en-US" w:eastAsia="en-US" w:bidi="ar-SA"/>
              </w:rPr>
              <w:t>Uczeń: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2 – dopuszczający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Rozpoznaje podstawowe emocje, potrzeby i czynniki wspierające dobrostan; wie, że w kryzysie należy szukać pomocy; wymienia wybrane zawody pomocowe.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3 – dostateczny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Opisuje sposoby dbania o równowagę, relacje i odpoczynek; rozpoznaje presję otoczenia; charakteryzuje potrzeby osób z wybranymi zaburzeniami bez stygmatyzacji.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4 – dobry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Analizuje wpływ mediów, oczekiwań i stylu życia na dobrostan; stosuje komunikaty wspierające i zasady wyznaczania granic; dobiera rodzaj pomocy.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5 – bardzo dobry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Samodzielnie proponuje strategie dbania o dobrostan i reagowania na kryzys; odróżnia role specjalistów; krytycznie ocenia przekazy o zdrowiu psychicznym.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6 – celujący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Tworzy oparty na dowodach program wsparcia lub kampanię destygmatyzującą, uwzględniając ochronę prywatności i ścieżki pomocy.</w:t>
            </w:r>
          </w:p>
        </w:tc>
      </w:tr>
    </w:tbl>
    <w:p>
      <w:pPr>
        <w:pStyle w:val="Normal"/>
        <w:spacing w:before="0" w:after="6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 xml:space="preserve">Ocena niedostateczna (1): </w:t>
      </w:r>
      <w:r>
        <w:rPr>
          <w:rFonts w:ascii="Calibri" w:hAnsi="Calibri"/>
          <w:color w:val="000000"/>
          <w:sz w:val="24"/>
          <w:szCs w:val="24"/>
        </w:rPr>
        <w:t>uczeń nie spełnia wymagań koniecznych na ocenę dopuszczającą i nie potrafi wykonać podstawowych zadań nawet przy wsparciu.</w:t>
      </w:r>
    </w:p>
    <w:p>
      <w:pPr>
        <w:pStyle w:val="Heading2"/>
        <w:rPr>
          <w:rFonts w:ascii="Calibri" w:hAnsi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VI. Zdrowie społeczne</w:t>
      </w:r>
    </w:p>
    <w:tbl>
      <w:tblPr>
        <w:tblStyle w:val="TableGrid"/>
        <w:tblW w:w="997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986"/>
        <w:gridCol w:w="4986"/>
      </w:tblGrid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b/>
                <w:color w:val="000000"/>
                <w:kern w:val="0"/>
                <w:sz w:val="24"/>
                <w:szCs w:val="24"/>
                <w:lang w:val="en-US" w:eastAsia="en-US" w:bidi="ar-SA"/>
              </w:rPr>
              <w:t>Ocena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b/>
                <w:color w:val="000000"/>
                <w:kern w:val="0"/>
                <w:sz w:val="24"/>
                <w:szCs w:val="24"/>
                <w:lang w:val="en-US" w:eastAsia="en-US" w:bidi="ar-SA"/>
              </w:rPr>
              <w:t>Uczeń: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2 – dopuszczający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Wymienia podstawowe kompetencje dorosłego życia; rozpoznaje zachowania prawidłowe i przemocowe; wskazuje potrzeby seniorów i osób zależnych.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3 – dostateczny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Opisuje odpowiedzialność za własny rozwój, etapy relacji i podstawowe aspekty rodzicielstwa; charakteryzuje przemoc fizyczną, psychiczną i ekonomiczną.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4 – dobry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Analizuje studia przypadków relacji i proponuje bezpieczne sposoby reagowania; omawia wpływ alkoholu i substancji psychoaktywnych w ciąży; wyjaśnia potrzeby osób starszych.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5 – bardzo dobry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Samodzielnie ocenia złożone sytuacje społeczne z poszanowaniem różnorodności decyzji życiowych; wyszukuje i interpretuje podstawowe przepisy.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6 – celujący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Opracowuje interdyscyplinarny projekt lub analizę łączącą zdrowie, prawo, etykę i komunikację.</w:t>
            </w:r>
          </w:p>
        </w:tc>
      </w:tr>
    </w:tbl>
    <w:p>
      <w:pPr>
        <w:pStyle w:val="Normal"/>
        <w:spacing w:before="0" w:after="6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 xml:space="preserve">Ocena niedostateczna (1): </w:t>
      </w:r>
      <w:r>
        <w:rPr>
          <w:rFonts w:ascii="Calibri" w:hAnsi="Calibri"/>
          <w:color w:val="000000"/>
          <w:sz w:val="24"/>
          <w:szCs w:val="24"/>
        </w:rPr>
        <w:t>uczeń nie spełnia wymagań koniecznych na ocenę dopuszczającą i nie potrafi wykonać podstawowych zadań nawet przy wsparciu.</w:t>
      </w:r>
    </w:p>
    <w:p>
      <w:pPr>
        <w:pStyle w:val="Heading2"/>
        <w:rPr>
          <w:rFonts w:ascii="Calibri" w:hAnsi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VII. Zdrowie środowiskowe</w:t>
      </w:r>
    </w:p>
    <w:tbl>
      <w:tblPr>
        <w:tblStyle w:val="TableGrid"/>
        <w:tblW w:w="997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986"/>
        <w:gridCol w:w="4986"/>
      </w:tblGrid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b/>
                <w:color w:val="000000"/>
                <w:kern w:val="0"/>
                <w:sz w:val="24"/>
                <w:szCs w:val="24"/>
                <w:lang w:val="en-US" w:eastAsia="en-US" w:bidi="ar-SA"/>
              </w:rPr>
              <w:t>Ocena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b/>
                <w:color w:val="000000"/>
                <w:kern w:val="0"/>
                <w:sz w:val="24"/>
                <w:szCs w:val="24"/>
                <w:lang w:val="en-US" w:eastAsia="en-US" w:bidi="ar-SA"/>
              </w:rPr>
              <w:t>Uczeń: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2 – dopuszczający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Podaje przykłady wpływu środowiska i klimatu na zdrowie; rozpoznaje oczywiście niewiarygodną informację.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3 – dostateczny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Wyjaśnia powiązania między jakością powietrza, wody, gleby, hałasem, klimatem i zdrowiem; wymienia cechy wiarygodnego źródła.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4 – dobry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Stosuje podstawowe metody weryfikacji informacji, porównuje źródła i identyfikuje mechanizmy dezinformacji; planuje proste działanie lokalne.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5 – bardzo dobry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Samodzielnie analizuje dane i przekazy dotyczące klimatu i zdrowia oraz opracowuje wykonalny plan poprawy zdrowia środowiskowego.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6 – celujący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Realizuje i ewaluuje działanie środowiskowe z udziałem społeczności, wykorzystuje wiarygodne dane i rzetelnie komunikuje wyniki.</w:t>
            </w:r>
          </w:p>
        </w:tc>
      </w:tr>
    </w:tbl>
    <w:p>
      <w:pPr>
        <w:pStyle w:val="Normal"/>
        <w:spacing w:before="0" w:after="6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 xml:space="preserve">Ocena niedostateczna (1): </w:t>
      </w:r>
      <w:r>
        <w:rPr>
          <w:rFonts w:ascii="Calibri" w:hAnsi="Calibri"/>
          <w:color w:val="000000"/>
          <w:sz w:val="24"/>
          <w:szCs w:val="24"/>
        </w:rPr>
        <w:t>uczeń nie spełnia wymagań koniecznych na ocenę dopuszczającą i nie potrafi wykonać podstawowych zadań nawet przy wsparciu.</w:t>
      </w:r>
    </w:p>
    <w:p>
      <w:pPr>
        <w:pStyle w:val="Heading2"/>
        <w:rPr>
          <w:rFonts w:ascii="Calibri" w:hAnsi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VIII. Internet i profilaktyka uzależnień</w:t>
      </w:r>
    </w:p>
    <w:tbl>
      <w:tblPr>
        <w:tblStyle w:val="TableGrid"/>
        <w:tblW w:w="997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986"/>
        <w:gridCol w:w="4986"/>
      </w:tblGrid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b/>
                <w:color w:val="000000"/>
                <w:kern w:val="0"/>
                <w:sz w:val="24"/>
                <w:szCs w:val="24"/>
                <w:lang w:val="en-US" w:eastAsia="en-US" w:bidi="ar-SA"/>
              </w:rPr>
              <w:t>Ocena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b/>
                <w:color w:val="000000"/>
                <w:kern w:val="0"/>
                <w:sz w:val="24"/>
                <w:szCs w:val="24"/>
                <w:lang w:val="en-US" w:eastAsia="en-US" w:bidi="ar-SA"/>
              </w:rPr>
              <w:t>Uczeń: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2 – dopuszczający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Wymienia podstawowe zasady prywatności, przykłady uzależnień i ich objawy; rozpoznaje fake news oraz ryzykowne udostępnianie wizerunku.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3 – dostateczny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Wyjaśnia mechanizm uzależnienia fizycznego i behawioralnego, omawia sharenting, wpływ reklam oraz podstawowe korzyści i zagrożenia AI; wskazuje miejsca pomocy.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4 – dobry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Analizuje modelowe zachowania pod kątem ryzyka; rozróżnia tryby leczenia uzależnień; weryfikuje treści i proponuje zasady higieny cyfrowej.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5 – bardzo dobry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Samodzielnie ocenia przekazy, mechanizmy perswazji i dezinformacji; uzasadnia dobór pomocy i trybu leczenia; wyjaśnia redukcję szkód lub FOMO/JOMO.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6 – celujący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Projektuje kompleksową kampanię profilaktyczną lub analizę ryzyka cyfrowego, uwzględniając prawo, etykę, prywatność i mechanizmy uzależnień.</w:t>
            </w:r>
          </w:p>
        </w:tc>
      </w:tr>
    </w:tbl>
    <w:p>
      <w:pPr>
        <w:pStyle w:val="Normal"/>
        <w:spacing w:before="0" w:after="6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 xml:space="preserve">Ocena niedostateczna (1): </w:t>
      </w:r>
      <w:r>
        <w:rPr>
          <w:rFonts w:ascii="Calibri" w:hAnsi="Calibri"/>
          <w:color w:val="000000"/>
          <w:sz w:val="24"/>
          <w:szCs w:val="24"/>
        </w:rPr>
        <w:t>uczeń nie spełnia wymagań koniecznych na ocenę dopuszczającą i nie potrafi wykonać podstawowych zadań nawet przy wsparciu.</w:t>
      </w:r>
    </w:p>
    <w:p>
      <w:pPr>
        <w:pStyle w:val="Heading2"/>
        <w:rPr>
          <w:rFonts w:ascii="Calibri" w:hAnsi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IX. System ochrony zdrowia</w:t>
      </w:r>
    </w:p>
    <w:tbl>
      <w:tblPr>
        <w:tblStyle w:val="TableGrid"/>
        <w:tblW w:w="997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986"/>
        <w:gridCol w:w="4986"/>
      </w:tblGrid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b/>
                <w:color w:val="000000"/>
                <w:kern w:val="0"/>
                <w:sz w:val="24"/>
                <w:szCs w:val="24"/>
                <w:lang w:val="en-US" w:eastAsia="en-US" w:bidi="ar-SA"/>
              </w:rPr>
              <w:t>Ocena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b/>
                <w:color w:val="000000"/>
                <w:kern w:val="0"/>
                <w:sz w:val="24"/>
                <w:szCs w:val="24"/>
                <w:lang w:val="en-US" w:eastAsia="en-US" w:bidi="ar-SA"/>
              </w:rPr>
              <w:t>Uczeń: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2 – dopuszczający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Wymienia podstawowe prawa pacjenta, numery alarmowe i miejsca udzielania pomocy; odróżnia lek od suplementu na prostych przykładach.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3 – dostateczny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Opisuje rolę POZ, NiŚOZ, AOS, SOR i ratownictwa; wyjaśnia podstawy samoleczenia, telemedycyny, e-zdrowia i IKP; czyta podstawowe informacje z ulotki.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4 – dobry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Dobiera właściwe miejsce pomocy do sytuacji, symuluje rozmowę z dyspozytorem, wyszukuje placówkę, interpretuje ulotkę i opisuje przygotowanie do wizyty lub badania.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5 – bardzo dobry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Samodzielnie uzasadnia decyzje dotyczące korzystania z systemu, reaguje na naruszenie praw pacjenta, ocenia rolę dowodów i badań klinicznych.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6 – celujący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Rozwiązuje złożone przypadki wymagające połączenia prawa pacjenta, organizacji systemu, farmakoterapii, komunikacji i oceny dowodów.</w:t>
            </w:r>
          </w:p>
        </w:tc>
      </w:tr>
    </w:tbl>
    <w:p>
      <w:pPr>
        <w:pStyle w:val="Normal"/>
        <w:spacing w:before="0" w:after="6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 xml:space="preserve">Ocena niedostateczna (1): </w:t>
      </w:r>
      <w:r>
        <w:rPr>
          <w:rFonts w:ascii="Calibri" w:hAnsi="Calibri"/>
          <w:color w:val="000000"/>
          <w:sz w:val="24"/>
          <w:szCs w:val="24"/>
        </w:rPr>
        <w:t>uczeń nie spełnia wymagań koniecznych na ocenę dopuszczającą i nie potrafi wykonać podstawowych zadań nawet przy wsparciu.</w:t>
      </w:r>
    </w:p>
    <w:p>
      <w:pPr>
        <w:pStyle w:val="Heading1"/>
        <w:rPr>
          <w:rFonts w:ascii="Calibri" w:hAnsi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IX. Kryteria oceniania projektu lub doświadczenia edukacyjnego</w:t>
      </w:r>
    </w:p>
    <w:tbl>
      <w:tblPr>
        <w:tblStyle w:val="TableGrid"/>
        <w:tblW w:w="997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986"/>
        <w:gridCol w:w="4986"/>
      </w:tblGrid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b/>
                <w:color w:val="000000"/>
                <w:kern w:val="0"/>
                <w:sz w:val="24"/>
                <w:szCs w:val="24"/>
                <w:lang w:val="en-US" w:eastAsia="en-US" w:bidi="ar-SA"/>
              </w:rPr>
              <w:t>Kryterium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b/>
                <w:color w:val="000000"/>
                <w:kern w:val="0"/>
                <w:sz w:val="24"/>
                <w:szCs w:val="24"/>
                <w:lang w:val="en-US" w:eastAsia="en-US" w:bidi="ar-SA"/>
              </w:rPr>
              <w:t>Punkty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Rozpoznanie problemu i określenie celu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0–4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Plan pracy, podział zadań i terminowość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0–4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Dobór i weryfikacja źródeł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0–4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Poprawność merytoryczna i bezpieczeństwo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0–6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Samodzielność i wkład indywidualny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0–4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Współpraca i komunikacja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0–4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Jakość produktu lub działania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0–4</w:t>
            </w:r>
          </w:p>
        </w:tc>
      </w:tr>
      <w:tr>
        <w:trPr/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Refleksja i ewaluacja</w:t>
            </w:r>
          </w:p>
        </w:tc>
        <w:tc>
          <w:tcPr>
            <w:tcW w:w="4986" w:type="dxa"/>
            <w:tcBorders/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cs="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rial" w:cs="" w:ascii="Calibri" w:hAnsi="Calibri"/>
                <w:color w:val="000000"/>
                <w:kern w:val="0"/>
                <w:sz w:val="24"/>
                <w:szCs w:val="24"/>
                <w:lang w:val="en-US" w:eastAsia="en-US" w:bidi="ar-SA"/>
              </w:rPr>
              <w:t>0–4</w:t>
            </w:r>
          </w:p>
        </w:tc>
      </w:tr>
    </w:tbl>
    <w:p>
      <w:pPr>
        <w:pStyle w:val="Normal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 xml:space="preserve">Projekt nie może wymagać ujawniania prywatnych danych zdrowotnych ucznia ani jego rodziny. </w:t>
      </w:r>
      <w:r>
        <w:rPr>
          <w:rFonts w:ascii="Calibri" w:hAnsi="Calibri"/>
          <w:color w:val="000000"/>
          <w:sz w:val="24"/>
          <w:szCs w:val="24"/>
        </w:rPr>
        <w:t>W pracy grupowej ocena indywidualna uwzględnia rozpoznawalny wkład ucznia.</w:t>
      </w:r>
    </w:p>
    <w:p>
      <w:pPr>
        <w:pStyle w:val="Heading1"/>
        <w:rPr>
          <w:rFonts w:ascii="Calibri" w:hAnsi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X. Poprawianie ocen i uzupełnianie braków</w:t>
      </w:r>
    </w:p>
    <w:p>
      <w:pPr>
        <w:pStyle w:val="ListBullet"/>
        <w:numPr>
          <w:ilvl w:val="0"/>
          <w:numId w:val="1"/>
        </w:numPr>
        <w:spacing w:before="0" w:after="20"/>
        <w:contextualSpacing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Uczeń ma prawo poprawić ocenę na zasadach i w terminach określonych w statucie szkoły.</w:t>
      </w:r>
    </w:p>
    <w:p>
      <w:pPr>
        <w:pStyle w:val="ListBullet"/>
        <w:numPr>
          <w:ilvl w:val="0"/>
          <w:numId w:val="1"/>
        </w:numPr>
        <w:spacing w:before="0" w:after="20"/>
        <w:contextualSpacing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Forma poprawy sprawdza te same wymagania edukacyjne, chociaż zadania nie muszą być identyczne.</w:t>
      </w:r>
    </w:p>
    <w:p>
      <w:pPr>
        <w:pStyle w:val="ListBullet"/>
        <w:numPr>
          <w:ilvl w:val="0"/>
          <w:numId w:val="1"/>
        </w:numPr>
        <w:spacing w:before="0" w:after="20"/>
        <w:contextualSpacing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Uczeń nieobecny na sprawdzianie lub obowiązkowym zadaniu wykonuje je w terminie uzgodnionym z nauczycielem.</w:t>
      </w:r>
    </w:p>
    <w:p>
      <w:pPr>
        <w:pStyle w:val="ListBullet"/>
        <w:numPr>
          <w:ilvl w:val="0"/>
          <w:numId w:val="1"/>
        </w:numPr>
        <w:spacing w:before="0" w:after="20"/>
        <w:contextualSpacing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W przypadku projektu nauczyciel może dopuścić uzupełnienie brakujących elementów lub zadanie równoważne.</w:t>
      </w:r>
    </w:p>
    <w:p>
      <w:pPr>
        <w:pStyle w:val="ListBullet"/>
        <w:numPr>
          <w:ilvl w:val="0"/>
          <w:numId w:val="1"/>
        </w:numPr>
        <w:spacing w:before="0" w:after="20"/>
        <w:contextualSpacing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O przewidywanej rocznej ocenie klasyfikacyjnej uczeń i rodzice są informowani zgodnie ze statutem szkoły.</w:t>
      </w:r>
    </w:p>
    <w:p>
      <w:pPr>
        <w:pStyle w:val="Heading1"/>
        <w:rPr>
          <w:rFonts w:ascii="Calibri" w:hAnsi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XI. Dostosowanie wymagań edukacyjnych</w:t>
      </w:r>
    </w:p>
    <w:p>
      <w:pPr>
        <w:pStyle w:val="ListBullet"/>
        <w:numPr>
          <w:ilvl w:val="0"/>
          <w:numId w:val="1"/>
        </w:numPr>
        <w:spacing w:before="0" w:after="20"/>
        <w:contextualSpacing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wydłużenie czasu pracy lub zmniejszenie liczby zadań przy zachowaniu kluczowych wymagań;</w:t>
      </w:r>
    </w:p>
    <w:p>
      <w:pPr>
        <w:pStyle w:val="ListBullet"/>
        <w:numPr>
          <w:ilvl w:val="0"/>
          <w:numId w:val="1"/>
        </w:numPr>
        <w:spacing w:before="0" w:after="20"/>
        <w:contextualSpacing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zastąpienie odpowiedzi ustnej pisemną lub odwrotnie;</w:t>
      </w:r>
    </w:p>
    <w:p>
      <w:pPr>
        <w:pStyle w:val="ListBullet"/>
        <w:numPr>
          <w:ilvl w:val="0"/>
          <w:numId w:val="1"/>
        </w:numPr>
        <w:spacing w:before="0" w:after="20"/>
        <w:contextualSpacing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podział złożonego zadania na etapy;</w:t>
      </w:r>
    </w:p>
    <w:p>
      <w:pPr>
        <w:pStyle w:val="ListBullet"/>
        <w:numPr>
          <w:ilvl w:val="0"/>
          <w:numId w:val="1"/>
        </w:numPr>
        <w:spacing w:before="0" w:after="20"/>
        <w:contextualSpacing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zastosowanie instrukcji, listy kontrolnej lub organizera graficznego;</w:t>
      </w:r>
    </w:p>
    <w:p>
      <w:pPr>
        <w:pStyle w:val="ListBullet"/>
        <w:numPr>
          <w:ilvl w:val="0"/>
          <w:numId w:val="1"/>
        </w:numPr>
        <w:spacing w:before="0" w:after="20"/>
        <w:contextualSpacing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możliwość korzystania z technologii wspomagających;</w:t>
      </w:r>
    </w:p>
    <w:p>
      <w:pPr>
        <w:pStyle w:val="ListBullet"/>
        <w:numPr>
          <w:ilvl w:val="0"/>
          <w:numId w:val="1"/>
        </w:numPr>
        <w:spacing w:before="0" w:after="20"/>
        <w:contextualSpacing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ocenianie przede wszystkim treści merytorycznej, gdy trudności językowe lub grafomotoryczne nie są celem zadania;</w:t>
      </w:r>
    </w:p>
    <w:p>
      <w:pPr>
        <w:pStyle w:val="ListBullet"/>
        <w:numPr>
          <w:ilvl w:val="0"/>
          <w:numId w:val="1"/>
        </w:numPr>
        <w:spacing w:before="0" w:after="20"/>
        <w:contextualSpacing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zapewnienie alternatywy dla zadań wymagających publicznej ekspozycji, aktywności fizycznej lub ujawniania informacji osobistych.</w:t>
      </w:r>
    </w:p>
    <w:p>
      <w:pPr>
        <w:pStyle w:val="Heading1"/>
        <w:rPr>
          <w:rFonts w:ascii="Calibri" w:hAnsi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XII. Ustalenia końcowe</w:t>
      </w:r>
    </w:p>
    <w:p>
      <w:pPr>
        <w:pStyle w:val="ListBullet"/>
        <w:numPr>
          <w:ilvl w:val="0"/>
          <w:numId w:val="1"/>
        </w:numPr>
        <w:spacing w:before="0" w:after="20"/>
        <w:contextualSpacing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Na początku roku szkolnego nauczyciel przedstawia uczniom wymagania edukacyjne, sposoby sprawdzania osiągnięć oraz zasady poprawiania ocen.</w:t>
      </w:r>
    </w:p>
    <w:p>
      <w:pPr>
        <w:pStyle w:val="ListBullet"/>
        <w:numPr>
          <w:ilvl w:val="0"/>
          <w:numId w:val="1"/>
        </w:numPr>
        <w:spacing w:before="0" w:after="20"/>
        <w:contextualSpacing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W sprawach nieuregulowanych niniejszym dokumentem stosuje się statut szkoły i obowiązujące przepisy prawa oświatowego.</w:t>
      </w:r>
    </w:p>
    <w:p>
      <w:pPr>
        <w:pStyle w:val="ListBullet"/>
        <w:numPr>
          <w:ilvl w:val="0"/>
          <w:numId w:val="1"/>
        </w:numPr>
        <w:spacing w:before="0" w:after="20"/>
        <w:contextualSpacing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Wymagania mogą być modyfikowane w zakresie organizacyjnym, jeżeli zmieni się statut szkoły, podstawa programowa lub warunki realizacji przedmiotu.</w:t>
      </w:r>
    </w:p>
    <w:sectPr>
      <w:type w:val="nextPage"/>
      <w:pgSz w:w="12240" w:h="15840"/>
      <w:pgMar w:left="1134" w:right="1134" w:gutter="0" w:header="0" w:top="1020" w:footer="0" w:bottom="10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Calibri">
    <w:charset w:val="ee" w:characterSet="windows-1250"/>
    <w:family w:val="roman"/>
    <w:pitch w:val="variable"/>
  </w:font>
  <w:font w:name="Courier">
    <w:altName w:val="Courier New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01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start"/>
    </w:pPr>
    <w:rPr>
      <w:rFonts w:ascii="Arial" w:hAnsi="Arial" w:eastAsia="Arial" w:cs="" w:cstheme="minorBidi"/>
      <w:color w:val="auto"/>
      <w:kern w:val="0"/>
      <w:sz w:val="21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200" w:after="8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160" w:after="6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120"/>
      <w:contextualSpacing/>
    </w:pPr>
    <w:rPr>
      <w:rFonts w:ascii="Calibri" w:hAnsi="Calibri" w:eastAsia="" w:cs="" w:asciiTheme="majorHAnsi" w:cstheme="majorBidi" w:eastAsiaTheme="majorEastAsia" w:hAnsiTheme="majorHAnsi"/>
      <w:b/>
      <w:spacing w:val="5"/>
      <w:kern w:val="2"/>
      <w:sz w:val="2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star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user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LibreOffice/25.8.7.3$Windows_X86_64 LibreOffice_project/30742500f2d3eb4366ac312fa33d3dcabdb3eba5</Application>
  <AppVersion>15.0000</AppVersion>
  <Pages>10</Pages>
  <Words>2234</Words>
  <Characters>15437</Characters>
  <CharactersWithSpaces>17409</CharactersWithSpaces>
  <Paragraphs>256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2026-07-22T13:54:38Z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