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mallLabel"/>
        <w:keepLines w:val="0"/>
        <w:spacing w:before="0" w:after="80"/>
        <w:jc w:val="center"/>
      </w:pPr>
      <w:r>
        <w:rPr>
          <w:rFonts w:ascii="Calibri" w:hAnsi="Calibri"/>
          <w:b/>
          <w:color w:val="191919"/>
          <w:sz w:val="36"/>
        </w:rPr>
        <w:t>KARTA SPRAWDZAJĄCA NR 1</w:t>
      </w:r>
    </w:p>
    <w:p>
      <w:pPr>
        <w:pStyle w:val="Title"/>
        <w:keepLines w:val="0"/>
        <w:spacing w:after="140"/>
        <w:jc w:val="center"/>
      </w:pPr>
      <w:r>
        <w:rPr>
          <w:rFonts w:ascii="Calibri" w:hAnsi="Calibri"/>
          <w:b/>
          <w:color w:val="191919"/>
          <w:sz w:val="30"/>
        </w:rPr>
        <w:t>Godność człowieka a różnorodność</w:t>
      </w:r>
    </w:p>
    <w:p>
      <w:pPr>
        <w:keepLines w:val="0"/>
        <w:spacing w:after="200"/>
        <w:jc w:val="center"/>
      </w:pPr>
      <w:r>
        <w:rPr>
          <w:rFonts w:ascii="Calibri" w:hAnsi="Calibri"/>
          <w:color w:val="191919"/>
          <w:sz w:val="23"/>
        </w:rPr>
        <w:t>Edukacja zdrowotna • liceum i technikum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216"/>
        <w:gridCol w:w="2098"/>
        <w:gridCol w:w="2438"/>
      </w:tblGrid>
      <w:tr>
        <w:tc>
          <w:tcPr>
            <w:tcW w:type="dxa" w:w="3494"/>
            <w:tcMar>
              <w:top w:w="100" w:type="dxa"/>
              <w:start w:w="90" w:type="dxa"/>
              <w:bottom w:w="100" w:type="dxa"/>
              <w:end w:w="90" w:type="dxa"/>
              <w:left w:w="120" w:type="dxa"/>
              <w:right w:w="120" w:type="dxa"/>
            </w:tcMar>
            <w:tcBorders>
              <w:top w:val="single" w:sz="4" w:color="E2E5E9" w:space="0"/>
              <w:left w:val="single" w:sz="4" w:color="E2E5E9" w:space="0"/>
              <w:bottom w:val="single" w:sz="4" w:color="E2E5E9" w:space="0"/>
              <w:right w:val="single" w:sz="4" w:color="E2E5E9" w:space="0"/>
              <w:insideH w:val="single" w:sz="4" w:space="0" w:color="E2E5E9"/>
              <w:insideV w:val="single" w:sz="4" w:space="0" w:color="E2E5E9"/>
            </w:tcBorders>
            <w:vAlign w:val="center"/>
          </w:tcPr>
          <w:p>
            <w:pPr>
              <w:spacing w:before="20" w:after="20" w:line="252" w:lineRule="auto"/>
            </w:pPr>
            <w:r>
              <w:rPr>
                <w:rFonts w:ascii="Calibri" w:hAnsi="Calibri"/>
                <w:b/>
                <w:color w:val="191919"/>
                <w:sz w:val="16"/>
              </w:rPr>
              <w:t>IMIĘ I NAZWISKO</w:t>
            </w:r>
          </w:p>
        </w:tc>
        <w:tc>
          <w:tcPr>
            <w:tcW w:type="dxa" w:w="3494"/>
            <w:tcMar>
              <w:top w:w="100" w:type="dxa"/>
              <w:start w:w="90" w:type="dxa"/>
              <w:bottom w:w="100" w:type="dxa"/>
              <w:end w:w="90" w:type="dxa"/>
              <w:left w:w="120" w:type="dxa"/>
              <w:right w:w="120" w:type="dxa"/>
            </w:tcMar>
            <w:tcBorders>
              <w:top w:val="single" w:sz="4" w:color="E2E5E9" w:space="0"/>
              <w:left w:val="single" w:sz="4" w:color="E2E5E9" w:space="0"/>
              <w:bottom w:val="single" w:sz="4" w:color="E2E5E9" w:space="0"/>
              <w:right w:val="single" w:sz="4" w:color="E2E5E9" w:space="0"/>
              <w:insideH w:val="single" w:sz="4" w:space="0" w:color="E2E5E9"/>
              <w:insideV w:val="single" w:sz="4" w:space="0" w:color="E2E5E9"/>
            </w:tcBorders>
            <w:vAlign w:val="center"/>
          </w:tcPr>
          <w:p>
            <w:pPr>
              <w:spacing w:before="20" w:after="20" w:line="252" w:lineRule="auto"/>
            </w:pPr>
            <w:r>
              <w:rPr>
                <w:rFonts w:ascii="Calibri" w:hAnsi="Calibri"/>
                <w:b/>
                <w:color w:val="191919"/>
                <w:sz w:val="16"/>
              </w:rPr>
              <w:t>KLASA</w:t>
            </w:r>
          </w:p>
        </w:tc>
        <w:tc>
          <w:tcPr>
            <w:tcW w:type="dxa" w:w="3494"/>
            <w:tcMar>
              <w:top w:w="100" w:type="dxa"/>
              <w:start w:w="90" w:type="dxa"/>
              <w:bottom w:w="100" w:type="dxa"/>
              <w:end w:w="90" w:type="dxa"/>
              <w:left w:w="120" w:type="dxa"/>
              <w:right w:w="120" w:type="dxa"/>
            </w:tcMar>
            <w:tcBorders>
              <w:top w:val="single" w:sz="4" w:color="E2E5E9" w:space="0"/>
              <w:left w:val="single" w:sz="4" w:color="E2E5E9" w:space="0"/>
              <w:bottom w:val="single" w:sz="4" w:color="E2E5E9" w:space="0"/>
              <w:right w:val="single" w:sz="4" w:color="E2E5E9" w:space="0"/>
              <w:insideH w:val="single" w:sz="4" w:space="0" w:color="E2E5E9"/>
              <w:insideV w:val="single" w:sz="4" w:space="0" w:color="E2E5E9"/>
            </w:tcBorders>
            <w:vAlign w:val="center"/>
          </w:tcPr>
          <w:p>
            <w:pPr>
              <w:spacing w:before="20" w:after="20" w:line="252" w:lineRule="auto"/>
            </w:pPr>
            <w:r>
              <w:rPr>
                <w:rFonts w:ascii="Calibri" w:hAnsi="Calibri"/>
                <w:b/>
                <w:color w:val="191919"/>
                <w:sz w:val="16"/>
              </w:rPr>
              <w:t>DATA</w:t>
            </w:r>
          </w:p>
        </w:tc>
      </w:tr>
      <w:tr>
        <w:tc>
          <w:tcPr>
            <w:tcW w:type="dxa" w:w="3494"/>
            <w:tcMar>
              <w:top w:w="100" w:type="dxa"/>
              <w:start w:w="90" w:type="dxa"/>
              <w:bottom w:w="100" w:type="dxa"/>
              <w:end w:w="90" w:type="dxa"/>
              <w:left w:w="120" w:type="dxa"/>
              <w:right w:w="120" w:type="dxa"/>
            </w:tcMar>
            <w:tcBorders>
              <w:top w:val="single" w:sz="4" w:color="E2E5E9" w:space="0"/>
              <w:left w:val="single" w:sz="4" w:color="E2E5E9" w:space="0"/>
              <w:bottom w:val="single" w:sz="4" w:color="E2E5E9" w:space="0"/>
              <w:right w:val="single" w:sz="4" w:color="E2E5E9" w:space="0"/>
              <w:insideH w:val="single" w:sz="4" w:space="0" w:color="E2E5E9"/>
              <w:insideV w:val="single" w:sz="4" w:space="0" w:color="E2E5E9"/>
            </w:tcBorders>
            <w:vAlign w:val="center"/>
          </w:tcPr>
          <w:p>
            <w:pPr>
              <w:spacing w:before="20" w:after="20" w:line="252" w:lineRule="auto"/>
            </w:pPr>
            <w:r>
              <w:rPr>
                <w:rFonts w:ascii="Calibri" w:hAnsi="Calibri"/>
                <w:color w:val="191919"/>
                <w:sz w:val="21"/>
              </w:rPr>
              <w:t xml:space="preserve"> </w:t>
            </w:r>
          </w:p>
        </w:tc>
        <w:tc>
          <w:tcPr>
            <w:tcW w:type="dxa" w:w="3494"/>
            <w:tcMar>
              <w:top w:w="100" w:type="dxa"/>
              <w:start w:w="90" w:type="dxa"/>
              <w:bottom w:w="100" w:type="dxa"/>
              <w:end w:w="90" w:type="dxa"/>
              <w:left w:w="120" w:type="dxa"/>
              <w:right w:w="120" w:type="dxa"/>
            </w:tcMar>
            <w:tcBorders>
              <w:top w:val="single" w:sz="4" w:color="E2E5E9" w:space="0"/>
              <w:left w:val="single" w:sz="4" w:color="E2E5E9" w:space="0"/>
              <w:bottom w:val="single" w:sz="4" w:color="E2E5E9" w:space="0"/>
              <w:right w:val="single" w:sz="4" w:color="E2E5E9" w:space="0"/>
              <w:insideH w:val="single" w:sz="4" w:space="0" w:color="E2E5E9"/>
              <w:insideV w:val="single" w:sz="4" w:space="0" w:color="E2E5E9"/>
            </w:tcBorders>
            <w:vAlign w:val="center"/>
          </w:tcPr>
          <w:p>
            <w:pPr>
              <w:spacing w:before="20" w:after="20" w:line="252" w:lineRule="auto"/>
            </w:pPr>
            <w:r>
              <w:rPr>
                <w:rFonts w:ascii="Calibri" w:hAnsi="Calibri"/>
                <w:color w:val="191919"/>
                <w:sz w:val="21"/>
              </w:rPr>
              <w:t xml:space="preserve"> </w:t>
            </w:r>
          </w:p>
        </w:tc>
        <w:tc>
          <w:tcPr>
            <w:tcW w:type="dxa" w:w="3494"/>
            <w:tcMar>
              <w:top w:w="100" w:type="dxa"/>
              <w:start w:w="90" w:type="dxa"/>
              <w:bottom w:w="100" w:type="dxa"/>
              <w:end w:w="90" w:type="dxa"/>
              <w:left w:w="120" w:type="dxa"/>
              <w:right w:w="120" w:type="dxa"/>
            </w:tcMar>
            <w:tcBorders>
              <w:top w:val="single" w:sz="4" w:color="E2E5E9" w:space="0"/>
              <w:left w:val="single" w:sz="4" w:color="E2E5E9" w:space="0"/>
              <w:bottom w:val="single" w:sz="4" w:color="E2E5E9" w:space="0"/>
              <w:right w:val="single" w:sz="4" w:color="E2E5E9" w:space="0"/>
              <w:insideH w:val="single" w:sz="4" w:space="0" w:color="E2E5E9"/>
              <w:insideV w:val="single" w:sz="4" w:space="0" w:color="E2E5E9"/>
            </w:tcBorders>
            <w:vAlign w:val="center"/>
          </w:tcPr>
          <w:p>
            <w:pPr>
              <w:spacing w:before="20" w:after="20" w:line="252" w:lineRule="auto"/>
            </w:pPr>
            <w:r>
              <w:rPr>
                <w:rFonts w:ascii="Calibri" w:hAnsi="Calibri"/>
                <w:color w:val="191919"/>
                <w:sz w:val="21"/>
              </w:rPr>
              <w:t xml:space="preserve"> </w:t>
            </w:r>
          </w:p>
        </w:tc>
      </w:tr>
    </w:tbl>
    <w:p>
      <w:pPr>
        <w:keepLines w:val="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54"/>
        <w:gridCol w:w="2098"/>
      </w:tblGrid>
      <w:tr>
        <w:tc>
          <w:tcPr>
            <w:tcW w:type="dxa" w:w="5241"/>
            <w:tcMar>
              <w:top w:w="100" w:type="dxa"/>
              <w:start w:w="120" w:type="dxa"/>
              <w:bottom w:w="100" w:type="dxa"/>
              <w:end w:w="120" w:type="dxa"/>
              <w:left w:w="120" w:type="dxa"/>
              <w:right w:w="120" w:type="dxa"/>
            </w:tcMar>
            <w:vAlign w:val="center"/>
            <w:tcBorders>
              <w:top w:val="single" w:sz="4" w:space="0" w:color="E2E5E9"/>
              <w:left w:val="single" w:sz="4" w:space="0" w:color="E2E5E9"/>
              <w:bottom w:val="single" w:sz="4" w:space="0" w:color="E2E5E9"/>
              <w:right w:val="single" w:sz="4" w:space="0" w:color="E2E5E9"/>
              <w:insideH w:val="single" w:sz="4" w:space="0" w:color="E2E5E9"/>
              <w:insideV w:val="single" w:sz="4" w:space="0" w:color="E2E5E9"/>
            </w:tcBorders>
          </w:tcPr>
          <w:p>
            <w:pPr>
              <w:spacing w:before="20" w:after="20" w:line="252" w:lineRule="auto"/>
            </w:pPr>
            <w:r>
              <w:rPr>
                <w:rFonts w:ascii="Calibri" w:hAnsi="Calibri"/>
                <w:b/>
                <w:color w:val="191919"/>
                <w:sz w:val="21"/>
              </w:rPr>
              <w:t xml:space="preserve">Instrukcja: </w:t>
            </w:r>
            <w:r>
              <w:rPr>
                <w:rFonts w:ascii="Calibri" w:hAnsi="Calibri"/>
                <w:color w:val="191919"/>
                <w:sz w:val="19"/>
              </w:rPr>
              <w:t>Czytaj polecenia uważnie. W zadaniach otwartych liczy się poprawność odpowiedzi i uzasadnienie.</w:t>
            </w:r>
          </w:p>
        </w:tc>
        <w:tc>
          <w:tcPr>
            <w:tcW w:type="dxa" w:w="5241"/>
            <w:tcMar>
              <w:top w:w="100" w:type="dxa"/>
              <w:start w:w="120" w:type="dxa"/>
              <w:bottom w:w="100" w:type="dxa"/>
              <w:end w:w="120" w:type="dxa"/>
              <w:left w:w="120" w:type="dxa"/>
              <w:right w:w="120" w:type="dxa"/>
            </w:tcMar>
            <w:vAlign w:val="center"/>
            <w:tcBorders>
              <w:top w:val="single" w:sz="4" w:space="0" w:color="E2E5E9"/>
              <w:left w:val="single" w:sz="4" w:space="0" w:color="E2E5E9"/>
              <w:bottom w:val="single" w:sz="4" w:space="0" w:color="E2E5E9"/>
              <w:right w:val="single" w:sz="4" w:space="0" w:color="E2E5E9"/>
              <w:insideH w:val="single" w:sz="4" w:space="0" w:color="E2E5E9"/>
              <w:insideV w:val="single" w:sz="4" w:space="0" w:color="E2E5E9"/>
            </w:tcBorders>
          </w:tcPr>
          <w:p>
            <w:pPr>
              <w:spacing w:before="20" w:after="20" w:line="252" w:lineRule="auto"/>
              <w:jc w:val="center"/>
            </w:pPr>
            <w:r>
              <w:rPr>
                <w:rFonts w:ascii="Calibri" w:hAnsi="Calibri"/>
                <w:b/>
                <w:color w:val="191919"/>
                <w:sz w:val="22"/>
              </w:rPr>
              <w:t>Maksymalnie</w:t>
              <w:br/>
              <w:t>30 pkt</w:t>
            </w:r>
          </w:p>
        </w:tc>
      </w:tr>
    </w:tbl>
    <w:p>
      <w:pPr>
        <w:keepLines w:val="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09"/>
        <w:gridCol w:w="9184"/>
      </w:tblGrid>
      <w:tr>
        <w:tc>
          <w:tcPr>
            <w:tcW w:type="dxa" w:w="5241"/>
            <w:tcMar>
              <w:top w:w="100" w:type="dxa"/>
              <w:start w:w="100" w:type="dxa"/>
              <w:bottom w:w="100" w:type="dxa"/>
              <w:end w:w="100" w:type="dxa"/>
              <w:left w:w="120" w:type="dxa"/>
              <w:right w:w="120" w:type="dxa"/>
            </w:tcMar>
            <w:vAlign w:val="center"/>
            <w:tcBorders>
              <w:top w:val="single" w:sz="6" w:space="0" w:color="D9DDE3"/>
              <w:left w:val="single" w:sz="6" w:space="0" w:color="D9DDE3"/>
              <w:bottom w:val="single" w:sz="6" w:space="0" w:color="D9DDE3"/>
              <w:right w:val="single" w:sz="6" w:space="0" w:color="D9DDE3"/>
              <w:insideH w:val="single" w:sz="6" w:space="0" w:color="D9DDE3"/>
              <w:insideV w:val="single" w:sz="6" w:space="0" w:color="D9DDE3"/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80" w:after="80" w:line="252" w:lineRule="auto"/>
              <w:jc w:val="center"/>
            </w:pPr>
            <w:r>
              <w:rPr>
                <w:rFonts w:ascii="Calibri" w:hAnsi="Calibri"/>
                <w:b/>
                <w:color w:val="191919"/>
                <w:sz w:val="28"/>
              </w:rPr>
              <w:t>A</w:t>
            </w:r>
          </w:p>
        </w:tc>
        <w:tc>
          <w:tcPr>
            <w:tcW w:type="dxa" w:w="5241"/>
            <w:tcMar>
              <w:top w:w="100" w:type="dxa"/>
              <w:start w:w="140" w:type="dxa"/>
              <w:bottom w:w="100" w:type="dxa"/>
              <w:end w:w="140" w:type="dxa"/>
              <w:left w:w="120" w:type="dxa"/>
              <w:right w:w="120" w:type="dxa"/>
            </w:tcMar>
            <w:vAlign w:val="center"/>
            <w:tcBorders>
              <w:top w:val="single" w:sz="6" w:space="0" w:color="D9DDE3"/>
              <w:left w:val="single" w:sz="6" w:space="0" w:color="D9DDE3"/>
              <w:bottom w:val="single" w:sz="6" w:space="0" w:color="D9DDE3"/>
              <w:right w:val="single" w:sz="6" w:space="0" w:color="D9DDE3"/>
              <w:insideH w:val="single" w:sz="6" w:space="0" w:color="D9DDE3"/>
              <w:insideV w:val="single" w:sz="6" w:space="0" w:color="D9DDE3"/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80" w:after="80" w:line="252" w:lineRule="auto"/>
            </w:pPr>
            <w:r>
              <w:rPr>
                <w:rFonts w:ascii="Calibri" w:hAnsi="Calibri"/>
                <w:b/>
                <w:color w:val="191919"/>
                <w:sz w:val="24"/>
              </w:rPr>
              <w:t>WIEDZA I ROZUMIENIE</w:t>
            </w:r>
            <w:r>
              <w:rPr>
                <w:rFonts w:ascii="Calibri" w:hAnsi="Calibri"/>
                <w:b/>
                <w:color w:val="191919"/>
                <w:sz w:val="17"/>
              </w:rPr>
              <w:br/>
              <w:t>Zadania zamknięte i rozpoznawanie podstawowych pojęć</w:t>
            </w:r>
          </w:p>
        </w:tc>
      </w:tr>
    </w:tbl>
    <w:p>
      <w:pPr>
        <w:keepLines w:val="0"/>
        <w:spacing w:after="0"/>
      </w:pPr>
    </w:p>
    <w:p>
      <w:pPr>
        <w:pStyle w:val="Question"/>
        <w:keepNext/>
        <w:keepLines w:val="0"/>
        <w:spacing w:before="240" w:after="100"/>
      </w:pPr>
      <w:r>
        <w:rPr>
          <w:rFonts w:ascii="Calibri" w:hAnsi="Calibri"/>
          <w:b/>
          <w:color w:val="191919"/>
          <w:sz w:val="23"/>
        </w:rPr>
        <w:t>Zadanie 1. Godność w sytuacji błędu  (1 pkt)</w:t>
      </w:r>
      <w:r>
        <w:rPr>
          <w:rFonts w:ascii="Calibri" w:hAnsi="Calibri"/>
          <w:b/>
          <w:color w:val="191919"/>
          <w:sz w:val="23"/>
        </w:rPr>
      </w:r>
    </w:p>
    <w:p>
      <w:pPr>
        <w:keepLines w:val="0"/>
        <w:spacing w:before="40" w:after="100"/>
      </w:pPr>
      <w:r>
        <w:rPr>
          <w:rFonts w:ascii="Calibri" w:hAnsi="Calibri"/>
          <w:color w:val="191919"/>
          <w:sz w:val="23"/>
        </w:rPr>
        <w:t>Pracownik podczas praktyk popełnił poważny błąd i musi ponieść jego konsekwencje. Które stwierdzenie pozostaje prawidłowe?</w:t>
      </w:r>
    </w:p>
    <w:p>
      <w:pPr>
        <w:keepLines w:val="0"/>
        <w:spacing w:after="80"/>
        <w:ind w:left="142"/>
      </w:pPr>
      <w:r>
        <w:rPr>
          <w:rFonts w:ascii="Calibri" w:hAnsi="Calibri"/>
          <w:color w:val="191919"/>
          <w:sz w:val="23"/>
        </w:rPr>
        <w:t>A. Można oceniać i korygować zachowanie człowieka, ale jego przyrodzona godność nie zależy od popełnionego błędu.</w:t>
      </w:r>
    </w:p>
    <w:p>
      <w:pPr>
        <w:keepLines w:val="0"/>
        <w:spacing w:after="80"/>
        <w:ind w:left="142"/>
      </w:pPr>
      <w:r>
        <w:rPr>
          <w:rFonts w:ascii="Calibri" w:hAnsi="Calibri"/>
          <w:color w:val="191919"/>
          <w:sz w:val="23"/>
        </w:rPr>
        <w:t>B. Popełnienie błędu może uzasadniać pozbawienie człowieka jego godności.</w:t>
      </w:r>
    </w:p>
    <w:p>
      <w:pPr>
        <w:keepLines w:val="0"/>
        <w:spacing w:after="80"/>
        <w:ind w:left="142"/>
      </w:pPr>
      <w:r>
        <w:rPr>
          <w:rFonts w:ascii="Calibri" w:hAnsi="Calibri"/>
          <w:color w:val="191919"/>
          <w:sz w:val="23"/>
        </w:rPr>
        <w:t>C. Godność przysługuje tylko wtedy, gdy inni pozytywnie oceniają daną osobę.</w:t>
      </w:r>
    </w:p>
    <w:p>
      <w:pPr>
        <w:keepLines w:val="0"/>
        <w:spacing w:after="80"/>
        <w:ind w:left="142"/>
      </w:pPr>
      <w:r>
        <w:rPr>
          <w:rFonts w:ascii="Calibri" w:hAnsi="Calibri"/>
          <w:color w:val="191919"/>
          <w:sz w:val="23"/>
        </w:rPr>
        <w:t>D. Godność zależy od tego, czy człowiek zachowuje się bezbłędnie.</w:t>
      </w:r>
    </w:p>
    <w:p>
      <w:pPr>
        <w:pStyle w:val="Question"/>
        <w:keepNext/>
        <w:keepLines w:val="0"/>
        <w:spacing w:before="240" w:after="100"/>
      </w:pPr>
      <w:r>
        <w:rPr>
          <w:rFonts w:ascii="Calibri" w:hAnsi="Calibri"/>
          <w:b/>
          <w:color w:val="191919"/>
          <w:sz w:val="23"/>
        </w:rPr>
        <w:t>Zadanie 2. Godność w polskim prawie</w:t>
      </w:r>
      <w:r>
        <w:rPr>
          <w:rFonts w:ascii="Calibri" w:hAnsi="Calibri"/>
          <w:b/>
          <w:color w:val="191919"/>
          <w:sz w:val="23"/>
        </w:rPr>
        <w:t xml:space="preserve">  (2 pkt)</w:t>
      </w:r>
    </w:p>
    <w:p>
      <w:pPr>
        <w:keepLines w:val="0"/>
        <w:spacing w:before="40" w:after="100"/>
      </w:pPr>
      <w:r>
        <w:rPr>
          <w:rFonts w:ascii="Calibri" w:hAnsi="Calibri"/>
          <w:color w:val="191919"/>
          <w:sz w:val="23"/>
        </w:rPr>
        <w:t>Zaznacz dwa prawidłowe stwierdzenia.</w:t>
      </w:r>
    </w:p>
    <w:p>
      <w:pPr>
        <w:keepLines w:val="0"/>
        <w:spacing w:after="80"/>
        <w:ind w:left="142"/>
      </w:pPr>
      <w:r>
        <w:rPr>
          <w:rFonts w:ascii="Calibri" w:hAnsi="Calibri"/>
          <w:color w:val="191919"/>
          <w:sz w:val="23"/>
        </w:rPr>
        <w:t>A. Może zostać odebrana osobie, która narusza prawo.</w:t>
      </w:r>
    </w:p>
    <w:p>
      <w:pPr>
        <w:keepLines w:val="0"/>
        <w:spacing w:after="80"/>
        <w:ind w:left="142"/>
      </w:pPr>
      <w:r>
        <w:rPr>
          <w:rFonts w:ascii="Calibri" w:hAnsi="Calibri"/>
          <w:color w:val="191919"/>
          <w:sz w:val="23"/>
        </w:rPr>
        <w:t>B. Godność człowieka jest przyrodzona i niezbywalna.</w:t>
      </w:r>
    </w:p>
    <w:p>
      <w:pPr>
        <w:keepLines w:val="0"/>
        <w:spacing w:after="80"/>
        <w:ind w:left="142"/>
      </w:pPr>
      <w:r>
        <w:rPr>
          <w:rFonts w:ascii="Calibri" w:hAnsi="Calibri"/>
          <w:color w:val="191919"/>
          <w:sz w:val="23"/>
        </w:rPr>
        <w:t>C. Zależy od obywatelstwa, wieku i sytuacji życiowej człowieka.</w:t>
      </w:r>
    </w:p>
    <w:p>
      <w:pPr>
        <w:keepLines w:val="0"/>
        <w:spacing w:after="80"/>
        <w:ind w:left="142"/>
      </w:pPr>
      <w:r>
        <w:rPr>
          <w:rFonts w:ascii="Calibri" w:hAnsi="Calibri"/>
          <w:color w:val="191919"/>
          <w:sz w:val="23"/>
        </w:rPr>
        <w:t>D. Stanowi źródło wolności i praw człowieka i obywatela.</w:t>
      </w:r>
    </w:p>
    <w:p>
      <w:pPr>
        <w:pStyle w:val="Question"/>
        <w:keepNext/>
        <w:keepLines w:val="0"/>
        <w:spacing w:before="240" w:after="100"/>
      </w:pPr>
      <w:r>
        <w:rPr>
          <w:rFonts w:ascii="Calibri" w:hAnsi="Calibri"/>
          <w:b/>
          <w:color w:val="191919"/>
          <w:sz w:val="23"/>
        </w:rPr>
        <w:t>Zadanie 3. Człowiek jako wartość</w:t>
      </w:r>
      <w:r>
        <w:rPr>
          <w:rFonts w:ascii="Calibri" w:hAnsi="Calibri"/>
          <w:b/>
          <w:color w:val="191919"/>
          <w:sz w:val="23"/>
        </w:rPr>
        <w:t xml:space="preserve">  (1 pkt)</w:t>
      </w:r>
    </w:p>
    <w:p>
      <w:pPr>
        <w:keepLines w:val="0"/>
        <w:spacing w:after="80"/>
      </w:pPr>
      <w:r>
        <w:rPr>
          <w:rFonts w:ascii="Calibri" w:hAnsi="Calibri"/>
          <w:color w:val="191919"/>
          <w:sz w:val="23"/>
        </w:rPr>
        <w:t>Które zdanie najlepiej oddaje myśl związaną z etyką Immanuela Kanta?</w:t>
      </w:r>
    </w:p>
    <w:p>
      <w:pPr>
        <w:keepLines w:val="0"/>
        <w:spacing w:after="80"/>
        <w:ind w:left="142"/>
      </w:pPr>
      <w:r>
        <w:rPr>
          <w:rFonts w:ascii="Calibri" w:hAnsi="Calibri"/>
          <w:color w:val="191919"/>
          <w:sz w:val="23"/>
        </w:rPr>
        <w:t>A. Wartość człowieka zależy przede wszystkim od jego użyteczności dla innych.</w:t>
      </w:r>
    </w:p>
    <w:p>
      <w:pPr>
        <w:keepLines w:val="0"/>
        <w:spacing w:after="80"/>
        <w:ind w:left="142"/>
      </w:pPr>
      <w:r>
        <w:rPr>
          <w:rFonts w:ascii="Calibri" w:hAnsi="Calibri"/>
          <w:color w:val="191919"/>
          <w:sz w:val="23"/>
        </w:rPr>
        <w:t>B. Człowieka należy traktować jako wartość samą w sobie, a nie jedynie jako środek do celu.</w:t>
      </w:r>
    </w:p>
    <w:p>
      <w:pPr>
        <w:keepLines w:val="0"/>
        <w:spacing w:after="80"/>
        <w:ind w:left="142"/>
      </w:pPr>
      <w:r>
        <w:rPr>
          <w:rFonts w:ascii="Calibri" w:hAnsi="Calibri"/>
          <w:color w:val="191919"/>
          <w:sz w:val="23"/>
        </w:rPr>
        <w:t>C. Każde działanie jest właściwe, jeśli prowadzi do korzystnego rezultatu.</w:t>
      </w:r>
    </w:p>
    <w:p>
      <w:pPr>
        <w:keepLines w:val="0"/>
        <w:spacing w:after="80"/>
        <w:ind w:left="142"/>
      </w:pPr>
      <w:r>
        <w:rPr>
          <w:rFonts w:ascii="Calibri" w:hAnsi="Calibri"/>
          <w:color w:val="191919"/>
          <w:sz w:val="23"/>
        </w:rPr>
        <w:t>D. Człowieka można traktować wyłącznie jako narzędzie do osiągnięcia celu.</w:t>
      </w:r>
    </w:p>
    <w:p>
      <w:pPr>
        <w:pStyle w:val="Question"/>
        <w:keepNext/>
        <w:keepLines w:val="0"/>
        <w:spacing w:before="240" w:after="100"/>
      </w:pPr>
      <w:r>
        <w:rPr>
          <w:rFonts w:ascii="Calibri" w:hAnsi="Calibri"/>
          <w:b/>
          <w:color w:val="191919"/>
          <w:sz w:val="23"/>
        </w:rPr>
        <w:t>Zadanie 4. Stereotyp, uprzedzenie czy dyskryminacja?</w:t>
      </w:r>
      <w:r>
        <w:rPr>
          <w:rFonts w:ascii="Calibri" w:hAnsi="Calibri"/>
          <w:b/>
          <w:color w:val="191919"/>
          <w:sz w:val="23"/>
        </w:rPr>
        <w:t xml:space="preserve">  (3 pkt)</w:t>
      </w:r>
    </w:p>
    <w:p>
      <w:pPr>
        <w:keepLines w:val="0"/>
        <w:spacing w:after="80"/>
      </w:pPr>
      <w:r>
        <w:rPr>
          <w:rFonts w:ascii="Calibri" w:hAnsi="Calibri"/>
          <w:color w:val="191919"/>
          <w:sz w:val="23"/>
        </w:rPr>
        <w:t>Wpisz: S – stereotyp, U – uprzedzenie, D – dyskryminacja.</w:t>
      </w:r>
    </w:p>
    <w:p>
      <w:pPr>
        <w:keepLines w:val="0"/>
        <w:spacing w:after="80"/>
        <w:ind w:left="142"/>
      </w:pPr>
      <w:r>
        <w:rPr>
          <w:rFonts w:ascii="Calibri" w:hAnsi="Calibri"/>
          <w:color w:val="191919"/>
          <w:sz w:val="23"/>
        </w:rPr>
        <w:t>1. „Osoby starsze nie potrafią korzystać z nowych technologii.” ............</w:t>
      </w:r>
    </w:p>
    <w:p>
      <w:pPr>
        <w:keepLines w:val="0"/>
        <w:spacing w:after="80"/>
        <w:ind w:left="142"/>
      </w:pPr>
      <w:r>
        <w:rPr>
          <w:rFonts w:ascii="Calibri" w:hAnsi="Calibri"/>
          <w:color w:val="191919"/>
          <w:sz w:val="23"/>
        </w:rPr>
        <w:t>2. „Nie lubię ludzi z tej grupy, chociaż żadnej z tych osób właściwie nie znam.” ............</w:t>
      </w:r>
    </w:p>
    <w:p>
      <w:pPr>
        <w:keepLines w:val="0"/>
        <w:spacing w:after="80"/>
        <w:ind w:left="142"/>
      </w:pPr>
      <w:r>
        <w:rPr>
          <w:rFonts w:ascii="Calibri" w:hAnsi="Calibri"/>
          <w:color w:val="191919"/>
          <w:sz w:val="23"/>
        </w:rPr>
        <w:t>3. Pracodawca odrzuca kandydatkę wyłącznie dlatego, że uważa, iż kobiety gorzej sprawdzają się na danym stanowisku. ............</w:t>
      </w:r>
    </w:p>
    <w:p>
      <w:pPr>
        <w:pStyle w:val="Question"/>
        <w:keepNext/>
        <w:keepLines w:val="0"/>
        <w:spacing w:before="240" w:after="100"/>
      </w:pPr>
      <w:r>
        <w:rPr>
          <w:rFonts w:ascii="Calibri" w:hAnsi="Calibri"/>
          <w:b/>
          <w:color w:val="191919"/>
          <w:sz w:val="23"/>
        </w:rPr>
        <w:t>Zadanie 5. Różne oblicza dyskryminacji</w:t>
      </w:r>
      <w:r>
        <w:rPr>
          <w:rFonts w:ascii="Calibri" w:hAnsi="Calibri"/>
          <w:b/>
          <w:color w:val="191919"/>
          <w:sz w:val="23"/>
        </w:rPr>
        <w:t xml:space="preserve">  (5 pkt)</w:t>
      </w:r>
    </w:p>
    <w:p>
      <w:pPr>
        <w:keepLines w:val="0"/>
        <w:spacing w:before="40" w:after="100"/>
      </w:pPr>
      <w:r>
        <w:rPr>
          <w:rFonts w:ascii="Calibri" w:hAnsi="Calibri"/>
          <w:color w:val="191919"/>
          <w:sz w:val="23"/>
        </w:rPr>
        <w:t>Połącz sytuację z właściwym pojęciem. Wpisz odpowiednią literę.</w:t>
      </w:r>
    </w:p>
    <w:p>
      <w:pPr>
        <w:keepLines w:val="0"/>
        <w:spacing w:after="80"/>
        <w:ind w:left="142"/>
      </w:pPr>
      <w:r>
        <w:rPr>
          <w:rFonts w:ascii="Calibri" w:hAnsi="Calibri"/>
          <w:color w:val="191919"/>
          <w:sz w:val="23"/>
        </w:rPr>
        <w:t>1. Wyśmiewanie ucznia z powodu jego pochodzenia etnicznego.</w:t>
      </w:r>
    </w:p>
    <w:p>
      <w:pPr>
        <w:keepLines w:val="0"/>
        <w:spacing w:after="80"/>
        <w:ind w:left="142"/>
      </w:pPr>
      <w:r>
        <w:rPr>
          <w:rFonts w:ascii="Calibri" w:hAnsi="Calibri"/>
          <w:color w:val="191919"/>
          <w:sz w:val="23"/>
        </w:rPr>
        <w:t>2. Pominięcie osoby poruszającej się na wózku w wydarzeniu tylko dlatego, że organizator nie chce zapewnić jej dostępności.</w:t>
      </w:r>
    </w:p>
    <w:p>
      <w:pPr>
        <w:keepLines w:val="0"/>
        <w:spacing w:after="80"/>
        <w:ind w:left="142"/>
      </w:pPr>
      <w:r>
        <w:rPr>
          <w:rFonts w:ascii="Calibri" w:hAnsi="Calibri"/>
          <w:color w:val="191919"/>
          <w:sz w:val="23"/>
        </w:rPr>
        <w:t>3. Gorsze traktowanie kogoś z powodu jego wyznania.</w:t>
      </w:r>
    </w:p>
    <w:p>
      <w:pPr>
        <w:keepLines w:val="0"/>
        <w:spacing w:after="80"/>
        <w:ind w:left="142"/>
      </w:pPr>
      <w:r>
        <w:rPr>
          <w:rFonts w:ascii="Calibri" w:hAnsi="Calibri"/>
          <w:color w:val="191919"/>
          <w:sz w:val="23"/>
        </w:rPr>
        <w:t>4. Przekonanie, że określony zawód „nie nadaje się dla kobiet”.</w:t>
      </w:r>
    </w:p>
    <w:p>
      <w:pPr>
        <w:keepLines w:val="0"/>
        <w:spacing w:after="80"/>
        <w:ind w:left="142"/>
      </w:pPr>
      <w:r>
        <w:rPr>
          <w:rFonts w:ascii="Calibri" w:hAnsi="Calibri"/>
          <w:color w:val="191919"/>
          <w:sz w:val="23"/>
        </w:rPr>
        <w:t>5. Wykluczanie ucznia dlatego, że jego rodziny nie stać na drogie ubrania i wyjazdy.</w:t>
      </w:r>
    </w:p>
    <w:p>
      <w:pPr>
        <w:keepLines w:val="0"/>
        <w:spacing w:after="80"/>
      </w:pPr>
      <w:r>
        <w:rPr>
          <w:rFonts w:ascii="Calibri" w:hAnsi="Calibri"/>
          <w:color w:val="191919"/>
          <w:sz w:val="23"/>
        </w:rPr>
        <w:t>A. seksizm     B. dyskryminacja religijna     C. rasizm     D. dyskryminacja ze względu na status materialny i społeczny     E. ableizm</w:t>
      </w:r>
    </w:p>
    <w:p>
      <w:pPr>
        <w:keepLines w:val="0"/>
        <w:spacing w:after="80"/>
      </w:pPr>
      <w:r>
        <w:rPr>
          <w:rFonts w:ascii="Calibri" w:hAnsi="Calibri"/>
          <w:color w:val="191919"/>
          <w:sz w:val="23"/>
        </w:rPr>
        <w:t>Odpowiedzi:   1. ........   2. ........   3. ........   4. ........   5. ........</w:t>
      </w:r>
    </w:p>
    <w:p>
      <w:pPr>
        <w:pStyle w:val="Question"/>
        <w:keepNext/>
        <w:keepLines w:val="0"/>
        <w:spacing w:before="240" w:after="100"/>
      </w:pPr>
      <w:r>
        <w:rPr>
          <w:rFonts w:ascii="Calibri" w:hAnsi="Calibri"/>
          <w:b/>
          <w:color w:val="191919"/>
          <w:sz w:val="23"/>
        </w:rPr>
        <w:t>Zadanie 6. Dobra dyskusja</w:t>
      </w:r>
      <w:r>
        <w:rPr>
          <w:rFonts w:ascii="Calibri" w:hAnsi="Calibri"/>
          <w:b/>
          <w:color w:val="191919"/>
          <w:sz w:val="23"/>
        </w:rPr>
        <w:t xml:space="preserve">  (2 pkt)</w:t>
      </w:r>
    </w:p>
    <w:p>
      <w:pPr>
        <w:keepLines w:val="0"/>
        <w:spacing w:before="40" w:after="100"/>
      </w:pPr>
      <w:r>
        <w:rPr>
          <w:rFonts w:ascii="Calibri" w:hAnsi="Calibri"/>
          <w:color w:val="191919"/>
          <w:sz w:val="23"/>
        </w:rPr>
        <w:t>Zaznacz dwie zasady, które sprzyjają dobrej dyskusji.</w:t>
      </w:r>
    </w:p>
    <w:p>
      <w:pPr>
        <w:keepLines w:val="0"/>
        <w:spacing w:after="80"/>
        <w:ind w:left="142"/>
      </w:pPr>
      <w:r>
        <w:rPr>
          <w:rFonts w:ascii="Calibri" w:hAnsi="Calibri"/>
          <w:color w:val="191919"/>
          <w:sz w:val="23"/>
        </w:rPr>
        <w:t>A. Ośmieszenie przeciwnika jest dobrym sposobem na przekonanie innych.</w:t>
      </w:r>
    </w:p>
    <w:p>
      <w:pPr>
        <w:keepLines w:val="0"/>
        <w:spacing w:after="80"/>
        <w:ind w:left="142"/>
      </w:pPr>
      <w:r>
        <w:rPr>
          <w:rFonts w:ascii="Calibri" w:hAnsi="Calibri"/>
          <w:color w:val="191919"/>
          <w:sz w:val="23"/>
        </w:rPr>
        <w:t>B. Przerywamy rozmówcy, jeśli jesteśmy pewni swojej racji.</w:t>
      </w:r>
    </w:p>
    <w:p>
      <w:pPr>
        <w:keepLines w:val="0"/>
        <w:spacing w:after="80"/>
        <w:ind w:left="142"/>
      </w:pPr>
      <w:r>
        <w:rPr>
          <w:rFonts w:ascii="Calibri" w:hAnsi="Calibri"/>
          <w:color w:val="191919"/>
          <w:sz w:val="23"/>
        </w:rPr>
        <w:t>C. Odnosimy się do argumentów, a nie atakujemy rozmówcy.</w:t>
      </w:r>
    </w:p>
    <w:p>
      <w:pPr>
        <w:keepLines w:val="0"/>
        <w:spacing w:after="80"/>
        <w:ind w:left="142"/>
      </w:pPr>
      <w:r>
        <w:rPr>
          <w:rFonts w:ascii="Calibri" w:hAnsi="Calibri"/>
          <w:color w:val="191919"/>
          <w:sz w:val="23"/>
        </w:rPr>
        <w:t>D. Słuchamy wypowiedzi drugiej osoby, nawet jeśli się z nią nie zgadzamy.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09"/>
        <w:gridCol w:w="9184"/>
      </w:tblGrid>
      <w:tr>
        <w:tc>
          <w:tcPr>
            <w:tcW w:type="dxa" w:w="5241"/>
            <w:tcMar>
              <w:top w:w="100" w:type="dxa"/>
              <w:start w:w="100" w:type="dxa"/>
              <w:bottom w:w="100" w:type="dxa"/>
              <w:end w:w="100" w:type="dxa"/>
              <w:left w:w="120" w:type="dxa"/>
              <w:right w:w="120" w:type="dxa"/>
            </w:tcMar>
            <w:vAlign w:val="center"/>
            <w:tcBorders>
              <w:top w:val="single" w:sz="6" w:space="0" w:color="D9DDE3"/>
              <w:left w:val="single" w:sz="6" w:space="0" w:color="D9DDE3"/>
              <w:bottom w:val="single" w:sz="6" w:space="0" w:color="D9DDE3"/>
              <w:right w:val="single" w:sz="6" w:space="0" w:color="D9DDE3"/>
              <w:insideH w:val="single" w:sz="6" w:space="0" w:color="D9DDE3"/>
              <w:insideV w:val="single" w:sz="6" w:space="0" w:color="D9DDE3"/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80" w:after="80" w:line="252" w:lineRule="auto"/>
              <w:jc w:val="center"/>
            </w:pPr>
            <w:r>
              <w:rPr>
                <w:rFonts w:ascii="Calibri" w:hAnsi="Calibri"/>
                <w:b/>
                <w:color w:val="191919"/>
                <w:sz w:val="28"/>
              </w:rPr>
              <w:t>B</w:t>
            </w:r>
          </w:p>
        </w:tc>
        <w:tc>
          <w:tcPr>
            <w:tcW w:type="dxa" w:w="5241"/>
            <w:tcMar>
              <w:top w:w="100" w:type="dxa"/>
              <w:start w:w="140" w:type="dxa"/>
              <w:bottom w:w="100" w:type="dxa"/>
              <w:end w:w="140" w:type="dxa"/>
              <w:left w:w="120" w:type="dxa"/>
              <w:right w:w="120" w:type="dxa"/>
            </w:tcMar>
            <w:vAlign w:val="center"/>
            <w:tcBorders>
              <w:top w:val="single" w:sz="6" w:space="0" w:color="D9DDE3"/>
              <w:left w:val="single" w:sz="6" w:space="0" w:color="D9DDE3"/>
              <w:bottom w:val="single" w:sz="6" w:space="0" w:color="D9DDE3"/>
              <w:right w:val="single" w:sz="6" w:space="0" w:color="D9DDE3"/>
              <w:insideH w:val="single" w:sz="6" w:space="0" w:color="D9DDE3"/>
              <w:insideV w:val="single" w:sz="6" w:space="0" w:color="D9DDE3"/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80" w:after="80" w:line="252" w:lineRule="auto"/>
            </w:pPr>
            <w:r>
              <w:rPr>
                <w:rFonts w:ascii="Calibri" w:hAnsi="Calibri"/>
                <w:b/>
                <w:color w:val="191919"/>
                <w:sz w:val="24"/>
              </w:rPr>
              <w:t>ZASTOSUJ WIEDZĘ</w:t>
            </w:r>
            <w:r>
              <w:rPr>
                <w:rFonts w:ascii="Calibri" w:hAnsi="Calibri"/>
                <w:b/>
                <w:color w:val="191919"/>
                <w:sz w:val="17"/>
              </w:rPr>
              <w:br/>
              <w:t>Rozumienie zależności i zastosowanie pojęć w sytuacjach</w:t>
            </w:r>
          </w:p>
        </w:tc>
      </w:tr>
    </w:tbl>
    <w:p>
      <w:pPr>
        <w:keepLines w:val="0"/>
        <w:spacing w:after="0"/>
      </w:pPr>
    </w:p>
    <w:p>
      <w:pPr>
        <w:pStyle w:val="Question"/>
        <w:keepNext/>
        <w:keepLines w:val="0"/>
        <w:spacing w:before="240" w:after="100"/>
      </w:pPr>
      <w:r>
        <w:rPr>
          <w:rFonts w:ascii="Calibri" w:hAnsi="Calibri"/>
          <w:b/>
          <w:color w:val="191919"/>
          <w:sz w:val="23"/>
        </w:rPr>
        <w:t>Zadanie 7. Jak powstaje dyskryminacja?</w:t>
      </w:r>
      <w:r>
        <w:rPr>
          <w:rFonts w:ascii="Calibri" w:hAnsi="Calibri"/>
          <w:b/>
          <w:color w:val="191919"/>
          <w:sz w:val="23"/>
        </w:rPr>
        <w:t xml:space="preserve">  (3 pkt)</w:t>
      </w:r>
    </w:p>
    <w:p>
      <w:pPr>
        <w:keepLines w:val="0"/>
        <w:spacing w:before="40" w:after="100"/>
      </w:pPr>
      <w:r>
        <w:rPr>
          <w:rFonts w:ascii="Calibri" w:hAnsi="Calibri"/>
          <w:color w:val="191919"/>
          <w:sz w:val="23"/>
        </w:rPr>
        <w:t>Przeczytaj sytuację.</w:t>
      </w:r>
    </w:p>
    <w:p>
      <w:pPr>
        <w:keepLines w:val="0"/>
        <w:spacing w:after="80"/>
        <w:ind w:left="283" w:right="283"/>
      </w:pPr>
      <w:r>
        <w:rPr>
          <w:rFonts w:ascii="Calibri" w:hAnsi="Calibri"/>
          <w:i/>
          <w:color w:val="191919"/>
          <w:sz w:val="23"/>
        </w:rPr>
        <w:t>W klasie pojawia się przekonanie, że uczniowie pochodzący z biedniejszych rodzin „są mniej ambitni”. Z czasem niektórzy uczniowie zaczynają niechętnie dobierać ich do pracy w grupach. W końcu jedna z osób zostaje celowo pominięta przy tworzeniu zespołu tylko ze względu na sytuację materialną jej rodziny.</w:t>
      </w:r>
    </w:p>
    <w:p>
      <w:pPr>
        <w:keepLines w:val="0"/>
        <w:spacing w:after="80"/>
      </w:pPr>
      <w:r>
        <w:rPr>
          <w:rFonts w:ascii="Calibri" w:hAnsi="Calibri"/>
          <w:color w:val="191919"/>
          <w:sz w:val="20"/>
        </w:rPr>
        <w:t>Stereotyp:</w:t>
      </w:r>
    </w:p>
    <w:p>
      <w:pPr>
        <w:keepLines w:val="0"/>
        <w:spacing w:before="0" w:after="80"/>
      </w:pPr>
      <w:r>
        <w:rPr>
          <w:rFonts w:ascii="Calibri" w:hAnsi="Calibri"/>
          <w:color w:val="191919"/>
          <w:sz w:val="18"/>
        </w:rPr>
        <w:t>................................................................................................................................................</w:t>
      </w:r>
    </w:p>
    <w:p>
      <w:pPr>
        <w:keepLines w:val="0"/>
        <w:spacing w:after="80"/>
      </w:pPr>
      <w:r>
        <w:rPr>
          <w:rFonts w:ascii="Calibri" w:hAnsi="Calibri"/>
          <w:color w:val="191919"/>
          <w:sz w:val="20"/>
        </w:rPr>
        <w:t>Uprzedzenie:</w:t>
      </w:r>
    </w:p>
    <w:p>
      <w:pPr>
        <w:keepLines w:val="0"/>
        <w:spacing w:before="0" w:after="80"/>
      </w:pPr>
      <w:r>
        <w:rPr>
          <w:rFonts w:ascii="Calibri" w:hAnsi="Calibri"/>
          <w:color w:val="191919"/>
          <w:sz w:val="18"/>
        </w:rPr>
        <w:t>................................................................................................................................................</w:t>
      </w:r>
    </w:p>
    <w:p>
      <w:pPr>
        <w:keepLines w:val="0"/>
        <w:spacing w:after="80"/>
      </w:pPr>
      <w:r>
        <w:rPr>
          <w:rFonts w:ascii="Calibri" w:hAnsi="Calibri"/>
          <w:color w:val="191919"/>
          <w:sz w:val="20"/>
        </w:rPr>
        <w:t>Dyskryminacja:</w:t>
      </w:r>
    </w:p>
    <w:p>
      <w:pPr>
        <w:keepLines w:val="0"/>
        <w:spacing w:before="0" w:after="80"/>
      </w:pPr>
      <w:r>
        <w:rPr>
          <w:rFonts w:ascii="Calibri" w:hAnsi="Calibri"/>
          <w:color w:val="191919"/>
          <w:sz w:val="18"/>
        </w:rPr>
        <w:t>................................................................................................................................................</w:t>
      </w:r>
    </w:p>
    <w:p>
      <w:pPr>
        <w:pStyle w:val="Question"/>
        <w:keepNext/>
        <w:keepLines w:val="0"/>
        <w:spacing w:before="240" w:after="100"/>
      </w:pPr>
      <w:r>
        <w:rPr>
          <w:rFonts w:ascii="Calibri" w:hAnsi="Calibri"/>
          <w:b/>
          <w:color w:val="191919"/>
          <w:sz w:val="23"/>
        </w:rPr>
        <w:t>Zadanie 8. Krytyka czy atak?</w:t>
      </w:r>
      <w:r>
        <w:rPr>
          <w:rFonts w:ascii="Calibri" w:hAnsi="Calibri"/>
          <w:b/>
          <w:color w:val="191919"/>
          <w:sz w:val="23"/>
        </w:rPr>
        <w:t xml:space="preserve">  (2 pkt)</w:t>
      </w:r>
    </w:p>
    <w:p>
      <w:pPr>
        <w:keepLines w:val="0"/>
        <w:spacing w:before="40" w:after="100"/>
      </w:pPr>
      <w:r>
        <w:rPr>
          <w:rFonts w:ascii="Calibri" w:hAnsi="Calibri"/>
          <w:color w:val="191919"/>
          <w:sz w:val="23"/>
        </w:rPr>
        <w:t>Przeczytaj wypowiedzi.</w:t>
      </w:r>
    </w:p>
    <w:p>
      <w:pPr>
        <w:keepLines w:val="0"/>
        <w:spacing w:after="80"/>
        <w:ind w:left="142"/>
      </w:pPr>
      <w:r>
        <w:rPr>
          <w:rFonts w:ascii="Calibri" w:hAnsi="Calibri"/>
          <w:color w:val="191919"/>
          <w:sz w:val="23"/>
        </w:rPr>
        <w:t>A. „Ludzie tacy jak ty nie powinni w ogóle zabierać głosu.”</w:t>
      </w:r>
    </w:p>
    <w:p>
      <w:pPr>
        <w:keepLines w:val="0"/>
        <w:spacing w:after="80"/>
        <w:ind w:left="142"/>
      </w:pPr>
      <w:r>
        <w:rPr>
          <w:rFonts w:ascii="Calibri" w:hAnsi="Calibri"/>
          <w:color w:val="191919"/>
          <w:sz w:val="23"/>
        </w:rPr>
        <w:t>B. „Nie zgadzam się z twoim stanowiskiem, ponieważ przedstawione argumenty nie są poparte wiarygodnymi źródłami.”</w:t>
      </w:r>
    </w:p>
    <w:p>
      <w:pPr>
        <w:keepLines w:val="0"/>
        <w:spacing w:after="80"/>
      </w:pPr>
      <w:r>
        <w:rPr>
          <w:rFonts w:ascii="Calibri" w:hAnsi="Calibri"/>
          <w:color w:val="191919"/>
          <w:sz w:val="23"/>
        </w:rPr>
        <w:t>Która wypowiedź jest przykładem rzeczowej krytyki?   Odpowiedź: ............</w:t>
      </w:r>
    </w:p>
    <w:p>
      <w:pPr>
        <w:keepLines w:val="0"/>
        <w:spacing w:after="80"/>
      </w:pPr>
      <w:r>
        <w:rPr>
          <w:rFonts w:ascii="Calibri" w:hAnsi="Calibri"/>
          <w:color w:val="191919"/>
          <w:sz w:val="20"/>
        </w:rPr>
        <w:t>Podaj jedną cechę, która odróżnia rzeczową krytykę od ataku na człowieka.</w:t>
      </w:r>
    </w:p>
    <w:p>
      <w:pPr>
        <w:keepLines w:val="0"/>
        <w:spacing w:before="0" w:after="80"/>
      </w:pPr>
      <w:r>
        <w:rPr>
          <w:rFonts w:ascii="Calibri" w:hAnsi="Calibri"/>
          <w:color w:val="191919"/>
          <w:sz w:val="18"/>
        </w:rPr>
        <w:t>................................................................................................................................................</w:t>
      </w:r>
    </w:p>
    <w:p>
      <w:pPr>
        <w:pStyle w:val="Question"/>
        <w:keepNext/>
        <w:keepLines w:val="0"/>
        <w:spacing w:before="240" w:after="100"/>
      </w:pPr>
      <w:r>
        <w:rPr>
          <w:rFonts w:ascii="Calibri" w:hAnsi="Calibri"/>
          <w:b/>
          <w:color w:val="191919"/>
          <w:sz w:val="23"/>
        </w:rPr>
        <w:t>Zadanie 9. Komunikacja bez przemocy</w:t>
      </w:r>
      <w:r>
        <w:rPr>
          <w:rFonts w:ascii="Calibri" w:hAnsi="Calibri"/>
          <w:b/>
          <w:color w:val="191919"/>
          <w:sz w:val="23"/>
        </w:rPr>
        <w:t xml:space="preserve">  (3 pkt)</w:t>
      </w:r>
    </w:p>
    <w:p>
      <w:pPr>
        <w:keepLines w:val="0"/>
        <w:spacing w:after="80"/>
      </w:pPr>
      <w:r>
        <w:rPr>
          <w:rFonts w:ascii="Calibri" w:hAnsi="Calibri"/>
          <w:color w:val="191919"/>
          <w:sz w:val="23"/>
        </w:rPr>
        <w:t>Podczas rozmowy jedna osoba mówi: „Ty zawsze mnie ignorujesz! Jesteś bezczelny!”</w:t>
      </w:r>
    </w:p>
    <w:p>
      <w:pPr>
        <w:keepLines w:val="0"/>
        <w:spacing w:after="80"/>
      </w:pPr>
      <w:r>
        <w:rPr>
          <w:rFonts w:ascii="Calibri" w:hAnsi="Calibri"/>
          <w:color w:val="191919"/>
          <w:sz w:val="23"/>
        </w:rPr>
        <w:t>Która z poniższych wypowiedzi jest najbliższa zasadom komunikacji bez przemocy?</w:t>
      </w:r>
    </w:p>
    <w:p>
      <w:pPr>
        <w:keepLines w:val="0"/>
        <w:spacing w:after="80"/>
        <w:ind w:left="142"/>
      </w:pPr>
      <w:r>
        <w:rPr>
          <w:rFonts w:ascii="Calibri" w:hAnsi="Calibri"/>
          <w:color w:val="191919"/>
          <w:sz w:val="23"/>
        </w:rPr>
        <w:t>A. „Nie ma sensu z tobą dyskutować.”</w:t>
      </w:r>
    </w:p>
    <w:p>
      <w:pPr>
        <w:keepLines w:val="0"/>
        <w:spacing w:after="80"/>
        <w:ind w:left="142"/>
      </w:pPr>
      <w:r>
        <w:rPr>
          <w:rFonts w:ascii="Calibri" w:hAnsi="Calibri"/>
          <w:color w:val="191919"/>
          <w:sz w:val="23"/>
        </w:rPr>
        <w:t>B. „Każdy widzi, że nie potrafisz normalnie rozmawiać.”</w:t>
      </w:r>
    </w:p>
    <w:p>
      <w:pPr>
        <w:keepLines w:val="0"/>
        <w:spacing w:after="80"/>
        <w:ind w:left="142"/>
      </w:pPr>
      <w:r>
        <w:rPr>
          <w:rFonts w:ascii="Calibri" w:hAnsi="Calibri"/>
          <w:color w:val="191919"/>
          <w:sz w:val="23"/>
        </w:rPr>
        <w:t>C. „Skoro ty mnie ignorujesz, ja też nie będę cię słuchać.”</w:t>
      </w:r>
    </w:p>
    <w:p>
      <w:pPr>
        <w:keepLines w:val="0"/>
        <w:spacing w:after="80"/>
        <w:ind w:left="142"/>
      </w:pPr>
      <w:r>
        <w:rPr>
          <w:rFonts w:ascii="Calibri" w:hAnsi="Calibri"/>
          <w:color w:val="191919"/>
          <w:sz w:val="23"/>
        </w:rPr>
        <w:t>D. „Kiedy patrzysz w telefon, gdy do ciebie mówię, czuję złość, ponieważ zależy mi na byciu wysłuchanym. Czy możesz odłożyć telefon na czas naszej rozmowy?”</w:t>
      </w:r>
    </w:p>
    <w:p>
      <w:pPr>
        <w:keepLines w:val="0"/>
        <w:spacing w:after="80"/>
      </w:pPr>
      <w:r>
        <w:rPr>
          <w:rFonts w:ascii="Calibri" w:hAnsi="Calibri"/>
          <w:color w:val="191919"/>
          <w:sz w:val="23"/>
        </w:rPr>
        <w:t>Odpowiedź: ............</w:t>
      </w:r>
    </w:p>
    <w:p>
      <w:pPr>
        <w:keepLines w:val="0"/>
        <w:spacing w:after="80"/>
      </w:pPr>
      <w:r>
        <w:rPr>
          <w:rFonts w:ascii="Calibri" w:hAnsi="Calibri"/>
          <w:color w:val="191919"/>
          <w:sz w:val="20"/>
        </w:rPr>
        <w:t>Wymień dwa elementy komunikacji bez przemocy, które rozpoznajesz w wybranej wypowiedzi.</w:t>
      </w:r>
    </w:p>
    <w:p>
      <w:pPr>
        <w:keepLines w:val="0"/>
        <w:spacing w:before="0" w:after="80"/>
      </w:pPr>
      <w:r>
        <w:rPr>
          <w:rFonts w:ascii="Calibri" w:hAnsi="Calibri"/>
          <w:color w:val="191919"/>
          <w:sz w:val="18"/>
        </w:rPr>
        <w:t>................................................................................................................................................</w:t>
      </w:r>
    </w:p>
    <w:p>
      <w:pPr>
        <w:keepLines w:val="0"/>
        <w:spacing w:before="0" w:after="80"/>
      </w:pPr>
      <w:r>
        <w:rPr>
          <w:rFonts w:ascii="Calibri" w:hAnsi="Calibri"/>
          <w:color w:val="191919"/>
          <w:sz w:val="18"/>
        </w:rPr>
        <w:t>................................................................................................................................................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09"/>
        <w:gridCol w:w="9184"/>
      </w:tblGrid>
      <w:tr>
        <w:tc>
          <w:tcPr>
            <w:tcW w:type="dxa" w:w="5241"/>
            <w:tcMar>
              <w:top w:w="100" w:type="dxa"/>
              <w:start w:w="100" w:type="dxa"/>
              <w:bottom w:w="100" w:type="dxa"/>
              <w:end w:w="100" w:type="dxa"/>
              <w:left w:w="120" w:type="dxa"/>
              <w:right w:w="120" w:type="dxa"/>
            </w:tcMar>
            <w:vAlign w:val="center"/>
            <w:tcBorders>
              <w:top w:val="single" w:sz="6" w:space="0" w:color="D9DDE3"/>
              <w:left w:val="single" w:sz="6" w:space="0" w:color="D9DDE3"/>
              <w:bottom w:val="single" w:sz="6" w:space="0" w:color="D9DDE3"/>
              <w:right w:val="single" w:sz="6" w:space="0" w:color="D9DDE3"/>
              <w:insideH w:val="single" w:sz="6" w:space="0" w:color="D9DDE3"/>
              <w:insideV w:val="single" w:sz="6" w:space="0" w:color="D9DDE3"/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80" w:after="80" w:line="252" w:lineRule="auto"/>
              <w:jc w:val="center"/>
            </w:pPr>
            <w:r>
              <w:rPr>
                <w:rFonts w:ascii="Calibri" w:hAnsi="Calibri"/>
                <w:b/>
                <w:color w:val="191919"/>
                <w:sz w:val="28"/>
              </w:rPr>
              <w:t>C</w:t>
            </w:r>
          </w:p>
        </w:tc>
        <w:tc>
          <w:tcPr>
            <w:tcW w:type="dxa" w:w="5241"/>
            <w:tcMar>
              <w:top w:w="100" w:type="dxa"/>
              <w:start w:w="140" w:type="dxa"/>
              <w:bottom w:w="100" w:type="dxa"/>
              <w:end w:w="140" w:type="dxa"/>
              <w:left w:w="120" w:type="dxa"/>
              <w:right w:w="120" w:type="dxa"/>
            </w:tcMar>
            <w:vAlign w:val="center"/>
            <w:tcBorders>
              <w:top w:val="single" w:sz="6" w:space="0" w:color="D9DDE3"/>
              <w:left w:val="single" w:sz="6" w:space="0" w:color="D9DDE3"/>
              <w:bottom w:val="single" w:sz="6" w:space="0" w:color="D9DDE3"/>
              <w:right w:val="single" w:sz="6" w:space="0" w:color="D9DDE3"/>
              <w:insideH w:val="single" w:sz="6" w:space="0" w:color="D9DDE3"/>
              <w:insideV w:val="single" w:sz="6" w:space="0" w:color="D9DDE3"/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80" w:after="80" w:line="252" w:lineRule="auto"/>
            </w:pPr>
            <w:r>
              <w:rPr>
                <w:rFonts w:ascii="Calibri" w:hAnsi="Calibri"/>
                <w:b/>
                <w:color w:val="191919"/>
                <w:sz w:val="24"/>
              </w:rPr>
              <w:t>PRZEANALIZUJ I UZASADNIJ</w:t>
            </w:r>
            <w:r>
              <w:rPr>
                <w:rFonts w:ascii="Calibri" w:hAnsi="Calibri"/>
                <w:b/>
                <w:color w:val="191919"/>
                <w:sz w:val="17"/>
              </w:rPr>
              <w:br/>
              <w:t>Analiza sytuacji, argumentowanie i proponowanie rozwiązań</w:t>
            </w:r>
          </w:p>
        </w:tc>
      </w:tr>
    </w:tbl>
    <w:p>
      <w:pPr>
        <w:keepLines w:val="0"/>
        <w:spacing w:after="0"/>
      </w:pPr>
    </w:p>
    <w:p>
      <w:pPr>
        <w:pStyle w:val="Question"/>
        <w:keepNext/>
        <w:keepLines w:val="0"/>
        <w:spacing w:before="240" w:after="100"/>
      </w:pPr>
      <w:r>
        <w:rPr>
          <w:rFonts w:ascii="Calibri" w:hAnsi="Calibri"/>
          <w:b/>
          <w:color w:val="191919"/>
          <w:sz w:val="23"/>
        </w:rPr>
        <w:t>Zadanie 10. Czy naruszono godność?</w:t>
      </w:r>
      <w:r>
        <w:rPr>
          <w:rFonts w:ascii="Calibri" w:hAnsi="Calibri"/>
          <w:b/>
          <w:color w:val="191919"/>
          <w:sz w:val="23"/>
        </w:rPr>
        <w:t xml:space="preserve">  (3 pkt)</w:t>
      </w:r>
    </w:p>
    <w:p>
      <w:pPr>
        <w:keepLines w:val="0"/>
        <w:spacing w:after="80"/>
      </w:pPr>
      <w:r>
        <w:rPr>
          <w:rFonts w:ascii="Calibri" w:hAnsi="Calibri"/>
          <w:color w:val="191919"/>
          <w:sz w:val="23"/>
        </w:rPr>
        <w:t>Podczas praktyk zawodowych uczeń popełnił błąd. Opiekun powiedział przy całej grupie:</w:t>
      </w:r>
    </w:p>
    <w:p>
      <w:pPr>
        <w:keepLines w:val="0"/>
        <w:spacing w:after="80"/>
        <w:jc w:val="center"/>
      </w:pPr>
      <w:r>
        <w:rPr>
          <w:rFonts w:ascii="Calibri" w:hAnsi="Calibri"/>
          <w:i/>
          <w:color w:val="191919"/>
          <w:sz w:val="23"/>
        </w:rPr>
        <w:t>„Do tej pracy trzeba mieć trochę więcej rozumu. Z ciebie raczej fachowca nie będzie.”</w:t>
      </w:r>
    </w:p>
    <w:p>
      <w:pPr>
        <w:keepLines w:val="0"/>
        <w:spacing w:after="80"/>
      </w:pPr>
      <w:r>
        <w:rPr>
          <w:rFonts w:ascii="Calibri" w:hAnsi="Calibri"/>
          <w:color w:val="191919"/>
          <w:sz w:val="20"/>
        </w:rPr>
        <w:t>a) Wyjaśnij, dlaczego taka wypowiedź może naruszać godność ucznia.</w:t>
      </w:r>
    </w:p>
    <w:p>
      <w:pPr>
        <w:keepLines w:val="0"/>
        <w:spacing w:before="0" w:after="80"/>
      </w:pPr>
      <w:r>
        <w:rPr>
          <w:rFonts w:ascii="Calibri" w:hAnsi="Calibri"/>
          <w:color w:val="191919"/>
          <w:sz w:val="18"/>
        </w:rPr>
        <w:t>................................................................................................................................................</w:t>
      </w:r>
    </w:p>
    <w:p>
      <w:pPr>
        <w:keepLines w:val="0"/>
        <w:spacing w:before="0" w:after="80"/>
      </w:pPr>
      <w:r>
        <w:rPr>
          <w:rFonts w:ascii="Calibri" w:hAnsi="Calibri"/>
          <w:color w:val="191919"/>
          <w:sz w:val="18"/>
        </w:rPr>
        <w:t>................................................................................................................................................</w:t>
      </w:r>
    </w:p>
    <w:p>
      <w:pPr>
        <w:keepLines w:val="0"/>
        <w:spacing w:after="80"/>
      </w:pPr>
      <w:r>
        <w:rPr>
          <w:rFonts w:ascii="Calibri" w:hAnsi="Calibri"/>
          <w:color w:val="191919"/>
          <w:sz w:val="20"/>
        </w:rPr>
        <w:t>b) Podaj przykład sposobu przekazania informacji o błędzie, który pozwoliłby zwrócić uwagę uczniowi bez jego poniżania.</w:t>
      </w:r>
    </w:p>
    <w:p>
      <w:pPr>
        <w:keepLines w:val="0"/>
        <w:spacing w:before="0" w:after="80"/>
      </w:pPr>
      <w:r>
        <w:rPr>
          <w:rFonts w:ascii="Calibri" w:hAnsi="Calibri"/>
          <w:color w:val="191919"/>
          <w:sz w:val="18"/>
        </w:rPr>
        <w:t>................................................................................................................................................</w:t>
      </w:r>
    </w:p>
    <w:p>
      <w:pPr>
        <w:keepLines w:val="0"/>
        <w:spacing w:before="0" w:after="80"/>
      </w:pPr>
      <w:r>
        <w:rPr>
          <w:rFonts w:ascii="Calibri" w:hAnsi="Calibri"/>
          <w:color w:val="191919"/>
          <w:sz w:val="18"/>
        </w:rPr>
        <w:t>................................................................................................................................................</w:t>
      </w:r>
    </w:p>
    <w:p>
      <w:pPr>
        <w:pStyle w:val="Question"/>
        <w:keepNext/>
        <w:keepLines w:val="0"/>
        <w:spacing w:before="240" w:after="100"/>
      </w:pPr>
      <w:r>
        <w:rPr>
          <w:rFonts w:ascii="Calibri" w:hAnsi="Calibri"/>
          <w:b/>
          <w:color w:val="191919"/>
          <w:sz w:val="23"/>
        </w:rPr>
        <w:t>Zadanie 11. Równość czy uprzywilejowanie?</w:t>
      </w:r>
      <w:r>
        <w:rPr>
          <w:rFonts w:ascii="Calibri" w:hAnsi="Calibri"/>
          <w:b/>
          <w:color w:val="191919"/>
          <w:sz w:val="23"/>
        </w:rPr>
        <w:t xml:space="preserve">  (2 pkt)</w:t>
      </w:r>
    </w:p>
    <w:p>
      <w:pPr>
        <w:keepLines w:val="0"/>
        <w:spacing w:after="80"/>
      </w:pPr>
      <w:r>
        <w:rPr>
          <w:rFonts w:ascii="Calibri" w:hAnsi="Calibri"/>
          <w:color w:val="191919"/>
          <w:sz w:val="23"/>
        </w:rPr>
        <w:t>Dwóch uczniów może wejść na pierwsze piętro szkoły schodami. Trzeci uczeń porusza się na wózku i korzysta z windy.</w:t>
      </w:r>
    </w:p>
    <w:p>
      <w:pPr>
        <w:keepLines w:val="0"/>
        <w:spacing w:after="80"/>
      </w:pPr>
      <w:r>
        <w:rPr>
          <w:rFonts w:ascii="Calibri" w:hAnsi="Calibri"/>
          <w:color w:val="191919"/>
          <w:sz w:val="20"/>
        </w:rPr>
        <w:t>Czy umożliwienie mu skorzystania z windy oznacza, że jest traktowany lepiej niż pozostali? Uzasadnij odpowiedź.</w:t>
      </w:r>
    </w:p>
    <w:p>
      <w:pPr>
        <w:keepLines w:val="0"/>
        <w:spacing w:before="0" w:after="80"/>
      </w:pPr>
      <w:r>
        <w:rPr>
          <w:rFonts w:ascii="Calibri" w:hAnsi="Calibri"/>
          <w:color w:val="191919"/>
          <w:sz w:val="18"/>
        </w:rPr>
        <w:t>................................................................................................................................................</w:t>
      </w:r>
    </w:p>
    <w:p>
      <w:pPr>
        <w:keepLines w:val="0"/>
        <w:spacing w:before="0" w:after="80"/>
      </w:pPr>
      <w:r>
        <w:rPr>
          <w:rFonts w:ascii="Calibri" w:hAnsi="Calibri"/>
          <w:color w:val="191919"/>
          <w:sz w:val="18"/>
        </w:rPr>
        <w:t>................................................................................................................................................</w:t>
      </w:r>
    </w:p>
    <w:p>
      <w:pPr>
        <w:keepLines w:val="0"/>
        <w:spacing w:before="0" w:after="80"/>
      </w:pPr>
      <w:r>
        <w:rPr>
          <w:rFonts w:ascii="Calibri" w:hAnsi="Calibri"/>
          <w:color w:val="191919"/>
          <w:sz w:val="18"/>
        </w:rPr>
        <w:t>................................................................................................................................................</w:t>
      </w:r>
    </w:p>
    <w:p>
      <w:pPr>
        <w:pStyle w:val="Question"/>
        <w:keepNext/>
        <w:keepLines w:val="0"/>
        <w:spacing w:before="240" w:after="100"/>
      </w:pPr>
      <w:r>
        <w:rPr>
          <w:rFonts w:ascii="Calibri" w:hAnsi="Calibri"/>
          <w:b/>
          <w:color w:val="191919"/>
          <w:sz w:val="23"/>
        </w:rPr>
        <w:t>Zadanie 12. Reakcja na dyskryminację</w:t>
      </w:r>
      <w:r>
        <w:rPr>
          <w:rFonts w:ascii="Calibri" w:hAnsi="Calibri"/>
          <w:b/>
          <w:color w:val="191919"/>
          <w:sz w:val="23"/>
        </w:rPr>
        <w:t xml:space="preserve">  (3 pkt)</w:t>
      </w:r>
    </w:p>
    <w:p>
      <w:pPr>
        <w:keepLines w:val="0"/>
        <w:spacing w:after="80"/>
      </w:pPr>
      <w:r>
        <w:rPr>
          <w:rFonts w:ascii="Calibri" w:hAnsi="Calibri"/>
          <w:color w:val="191919"/>
          <w:sz w:val="23"/>
        </w:rPr>
        <w:t>Podczas przerwy grupa uczniów wyśmiewa kolegę z powodu jego religii. Kilka osób obserwuje sytuację, ale nikt nie reaguje.</w:t>
      </w:r>
    </w:p>
    <w:p>
      <w:pPr>
        <w:keepLines w:val="0"/>
        <w:spacing w:after="80"/>
      </w:pPr>
      <w:r>
        <w:rPr>
          <w:rFonts w:ascii="Calibri" w:hAnsi="Calibri"/>
          <w:color w:val="191919"/>
          <w:sz w:val="20"/>
        </w:rPr>
        <w:t>Zaproponuj dwa bezpieczne działania, które może podjąć świadek tej sytuacji.</w:t>
      </w:r>
    </w:p>
    <w:p>
      <w:pPr>
        <w:keepLines w:val="0"/>
        <w:spacing w:before="0" w:after="80"/>
      </w:pPr>
      <w:r>
        <w:rPr>
          <w:rFonts w:ascii="Calibri" w:hAnsi="Calibri"/>
          <w:color w:val="191919"/>
          <w:sz w:val="18"/>
        </w:rPr>
        <w:t>................................................................................................................................................</w:t>
      </w:r>
    </w:p>
    <w:p>
      <w:pPr>
        <w:keepLines w:val="0"/>
        <w:spacing w:before="0" w:after="80"/>
      </w:pPr>
      <w:r>
        <w:rPr>
          <w:rFonts w:ascii="Calibri" w:hAnsi="Calibri"/>
          <w:color w:val="191919"/>
          <w:sz w:val="18"/>
        </w:rPr>
        <w:t>................................................................................................................................................</w:t>
      </w:r>
    </w:p>
    <w:p>
      <w:pPr>
        <w:keepLines w:val="0"/>
        <w:spacing w:after="80"/>
      </w:pPr>
      <w:r>
        <w:rPr>
          <w:rFonts w:ascii="Calibri" w:hAnsi="Calibri"/>
          <w:color w:val="191919"/>
          <w:sz w:val="20"/>
        </w:rPr>
        <w:t>Wyjaśnij, dlaczego reakcja świadków może mieć znaczenie.</w:t>
      </w:r>
    </w:p>
    <w:p>
      <w:pPr>
        <w:keepLines w:val="0"/>
        <w:spacing w:before="0" w:after="80"/>
      </w:pPr>
      <w:r>
        <w:rPr>
          <w:rFonts w:ascii="Calibri" w:hAnsi="Calibri"/>
          <w:color w:val="191919"/>
          <w:sz w:val="18"/>
        </w:rPr>
        <w:t>................................................................................................................................................</w:t>
      </w:r>
    </w:p>
    <w:p>
      <w:pPr>
        <w:keepLines w:val="0"/>
        <w:spacing w:before="0" w:after="80"/>
      </w:pPr>
      <w:r>
        <w:rPr>
          <w:rFonts w:ascii="Calibri" w:hAnsi="Calibri"/>
          <w:color w:val="191919"/>
          <w:sz w:val="18"/>
        </w:rPr>
        <w:t>................................................................................................................................................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494"/>
        <w:gridCol w:w="3494"/>
        <w:gridCol w:w="3494"/>
      </w:tblGrid>
      <w:tr>
        <w:tc>
          <w:tcPr>
            <w:tcW w:type="dxa" w:w="3494"/>
            <w:tcMar>
              <w:top w:w="100" w:type="dxa"/>
              <w:start w:w="110" w:type="dxa"/>
              <w:bottom w:w="100" w:type="dxa"/>
              <w:end w:w="110" w:type="dxa"/>
              <w:left w:w="120" w:type="dxa"/>
              <w:right w:w="120" w:type="dxa"/>
            </w:tcMar>
            <w:vAlign w:val="center"/>
            <w:tcBorders>
              <w:top w:val="single" w:sz="4" w:space="0" w:color="E2E5E9"/>
              <w:left w:val="single" w:sz="4" w:space="0" w:color="E2E5E9"/>
              <w:bottom w:val="single" w:sz="4" w:space="0" w:color="E2E5E9"/>
              <w:right w:val="single" w:sz="4" w:space="0" w:color="E2E5E9"/>
              <w:insideH w:val="single" w:sz="4" w:space="0" w:color="E2E5E9"/>
              <w:insideV w:val="single" w:sz="4" w:space="0" w:color="E2E5E9"/>
            </w:tcBorders>
          </w:tcPr>
          <w:p>
            <w:pPr>
              <w:spacing w:before="20" w:after="20" w:line="252" w:lineRule="auto"/>
              <w:jc w:val="center"/>
            </w:pPr>
            <w:r>
              <w:rPr>
                <w:rFonts w:ascii="Calibri" w:hAnsi="Calibri"/>
                <w:b/>
                <w:color w:val="191919"/>
                <w:sz w:val="18"/>
              </w:rPr>
              <w:t>Wynik: ........ / 30 pkt</w:t>
            </w:r>
          </w:p>
        </w:tc>
        <w:tc>
          <w:tcPr>
            <w:tcW w:type="dxa" w:w="3494"/>
            <w:tcMar>
              <w:top w:w="100" w:type="dxa"/>
              <w:start w:w="110" w:type="dxa"/>
              <w:bottom w:w="100" w:type="dxa"/>
              <w:end w:w="110" w:type="dxa"/>
              <w:left w:w="120" w:type="dxa"/>
              <w:right w:w="120" w:type="dxa"/>
            </w:tcMar>
            <w:vAlign w:val="center"/>
            <w:tcBorders>
              <w:top w:val="single" w:sz="4" w:space="0" w:color="E2E5E9"/>
              <w:left w:val="single" w:sz="4" w:space="0" w:color="E2E5E9"/>
              <w:bottom w:val="single" w:sz="4" w:space="0" w:color="E2E5E9"/>
              <w:right w:val="single" w:sz="4" w:space="0" w:color="E2E5E9"/>
              <w:insideH w:val="single" w:sz="4" w:space="0" w:color="E2E5E9"/>
              <w:insideV w:val="single" w:sz="4" w:space="0" w:color="E2E5E9"/>
            </w:tcBorders>
          </w:tcPr>
          <w:p>
            <w:pPr>
              <w:spacing w:before="20" w:after="20" w:line="252" w:lineRule="auto"/>
              <w:jc w:val="center"/>
            </w:pPr>
            <w:r>
              <w:rPr>
                <w:rFonts w:ascii="Calibri" w:hAnsi="Calibri"/>
                <w:b/>
                <w:color w:val="191919"/>
                <w:sz w:val="18"/>
              </w:rPr>
              <w:t>Ocena: ........................</w:t>
            </w:r>
          </w:p>
        </w:tc>
        <w:tc>
          <w:tcPr>
            <w:tcW w:type="dxa" w:w="3494"/>
            <w:tcMar>
              <w:top w:w="100" w:type="dxa"/>
              <w:start w:w="110" w:type="dxa"/>
              <w:bottom w:w="100" w:type="dxa"/>
              <w:end w:w="110" w:type="dxa"/>
              <w:left w:w="120" w:type="dxa"/>
              <w:right w:w="120" w:type="dxa"/>
            </w:tcMar>
            <w:vAlign w:val="center"/>
            <w:tcBorders>
              <w:top w:val="single" w:sz="4" w:space="0" w:color="E2E5E9"/>
              <w:left w:val="single" w:sz="4" w:space="0" w:color="E2E5E9"/>
              <w:bottom w:val="single" w:sz="4" w:space="0" w:color="E2E5E9"/>
              <w:right w:val="single" w:sz="4" w:space="0" w:color="E2E5E9"/>
              <w:insideH w:val="single" w:sz="4" w:space="0" w:color="E2E5E9"/>
              <w:insideV w:val="single" w:sz="4" w:space="0" w:color="E2E5E9"/>
            </w:tcBorders>
          </w:tcPr>
          <w:p>
            <w:pPr>
              <w:spacing w:before="20" w:after="20" w:line="252" w:lineRule="auto"/>
              <w:jc w:val="center"/>
            </w:pPr>
            <w:r>
              <w:rPr>
                <w:rFonts w:ascii="Calibri" w:hAnsi="Calibri"/>
                <w:b/>
                <w:color w:val="191919"/>
                <w:sz w:val="18"/>
              </w:rPr>
              <w:t>Podpis nauczyciela: ........................</w:t>
            </w:r>
          </w:p>
        </w:tc>
      </w:tr>
    </w:tbl>
    <w:p>
      <w:pPr>
        <w:keepLines w:val="0"/>
      </w:pPr>
      <w:r>
        <w:rPr>
          <w:rFonts w:ascii="Calibri" w:hAnsi="Calibri"/>
          <w:color w:val="191919"/>
          <w:sz w:val="23"/>
        </w:rPr>
        <w:br w:type="page"/>
      </w:r>
    </w:p>
    <w:p>
      <w:pPr>
        <w:pStyle w:val="SmallLabel"/>
        <w:keepLines w:val="0"/>
        <w:spacing w:after="60" w:line="247" w:lineRule="auto"/>
        <w:jc w:val="center"/>
      </w:pPr>
      <w:r>
        <w:rPr>
          <w:rFonts w:ascii="Calibri" w:hAnsi="Calibri"/>
          <w:color w:val="191919"/>
          <w:sz w:val="20"/>
        </w:rPr>
        <w:t>MATERIAŁ DLA NAUCZYCIELA</w:t>
      </w:r>
    </w:p>
    <w:p>
      <w:pPr>
        <w:pStyle w:val="Title"/>
        <w:keepLines w:val="0"/>
        <w:spacing w:after="60" w:line="247" w:lineRule="auto"/>
        <w:jc w:val="center"/>
      </w:pPr>
      <w:r>
        <w:rPr>
          <w:rFonts w:ascii="Calibri" w:hAnsi="Calibri"/>
          <w:color w:val="191919"/>
          <w:sz w:val="20"/>
        </w:rPr>
        <w:t>Klucz odpowiedzi i punktacja</w:t>
      </w:r>
    </w:p>
    <w:p>
      <w:pPr>
        <w:keepLines w:val="0"/>
        <w:spacing w:after="60" w:line="247" w:lineRule="auto"/>
        <w:jc w:val="center"/>
      </w:pPr>
      <w:r>
        <w:rPr>
          <w:rFonts w:ascii="Calibri" w:hAnsi="Calibri"/>
          <w:color w:val="191919"/>
          <w:sz w:val="21"/>
        </w:rPr>
        <w:t>Karta sprawdzająca nr 1 • Godność człowieka a różnorodność</w:t>
      </w:r>
    </w:p>
    <w:tbl>
      <w:tblPr>
        <w:tblW w:type="auto" w:w="0"/>
        <w:tblLayout w:type="autofi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482"/>
      </w:tblGrid>
      <w:tr>
        <w:tc>
          <w:tcPr>
            <w:tcW w:type="dxa" w:w="10482"/>
            <w:tcMar>
              <w:top w:w="100" w:type="dxa"/>
              <w:start w:w="130" w:type="dxa"/>
              <w:bottom w:w="100" w:type="dxa"/>
              <w:end w:w="130" w:type="dxa"/>
              <w:left w:w="120" w:type="dxa"/>
              <w:right w:w="120" w:type="dxa"/>
            </w:tcMar>
            <w:vAlign w:val="center"/>
            <w:tcBorders>
              <w:top w:val="single" w:sz="4" w:space="0" w:color="E2E5E9"/>
              <w:left w:val="single" w:sz="4" w:space="0" w:color="E2E5E9"/>
              <w:bottom w:val="single" w:sz="4" w:space="0" w:color="E2E5E9"/>
              <w:right w:val="single" w:sz="4" w:space="0" w:color="E2E5E9"/>
              <w:insideH w:val="single" w:sz="4" w:space="0" w:color="E2E5E9"/>
              <w:insideV w:val="single" w:sz="4" w:space="0" w:color="E2E5E9"/>
            </w:tcBorders>
          </w:tcPr>
          <w:p>
            <w:pPr>
              <w:spacing w:before="20" w:after="20" w:line="252" w:lineRule="auto"/>
            </w:pPr>
            <w:r>
              <w:rPr>
                <w:rFonts w:ascii="Calibri" w:hAnsi="Calibri"/>
                <w:b/>
                <w:color w:val="191919"/>
                <w:sz w:val="21"/>
              </w:rPr>
              <w:t xml:space="preserve">Maksymalna liczba punktów: 30. </w:t>
            </w:r>
            <w:r>
              <w:rPr>
                <w:rFonts w:ascii="Calibri" w:hAnsi="Calibri"/>
                <w:color w:val="191919"/>
                <w:sz w:val="21"/>
              </w:rPr>
              <w:t>Punktację można przeliczyć na ocenę zgodnie z zasadami oceniania obowiązującymi w danej szkole.</w:t>
            </w:r>
          </w:p>
        </w:tc>
      </w:tr>
    </w:tbl>
    <w:p>
      <w:pPr>
        <w:keepLines w:val="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09"/>
        <w:gridCol w:w="9184"/>
      </w:tblGrid>
      <w:tr>
        <w:tc>
          <w:tcPr>
            <w:tcW w:type="dxa" w:w="5241"/>
            <w:tcMar>
              <w:top w:w="100" w:type="dxa"/>
              <w:start w:w="100" w:type="dxa"/>
              <w:bottom w:w="100" w:type="dxa"/>
              <w:end w:w="100" w:type="dxa"/>
              <w:left w:w="120" w:type="dxa"/>
              <w:right w:w="120" w:type="dxa"/>
            </w:tcMar>
            <w:vAlign w:val="center"/>
            <w:tcBorders>
              <w:top w:val="single" w:sz="6" w:space="0" w:color="D9DDE3"/>
              <w:left w:val="single" w:sz="6" w:space="0" w:color="D9DDE3"/>
              <w:bottom w:val="single" w:sz="6" w:space="0" w:color="D9DDE3"/>
              <w:right w:val="single" w:sz="6" w:space="0" w:color="D9DDE3"/>
              <w:insideH w:val="single" w:sz="6" w:space="0" w:color="D9DDE3"/>
              <w:insideV w:val="single" w:sz="6" w:space="0" w:color="D9DDE3"/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191919"/>
                <w:sz w:val="19"/>
              </w:rPr>
              <w:t>A</w:t>
            </w:r>
          </w:p>
        </w:tc>
        <w:tc>
          <w:tcPr>
            <w:tcW w:type="dxa" w:w="5241"/>
            <w:tcMar>
              <w:top w:w="100" w:type="dxa"/>
              <w:start w:w="140" w:type="dxa"/>
              <w:bottom w:w="100" w:type="dxa"/>
              <w:end w:w="140" w:type="dxa"/>
              <w:left w:w="120" w:type="dxa"/>
              <w:right w:w="120" w:type="dxa"/>
            </w:tcMar>
            <w:vAlign w:val="center"/>
            <w:tcBorders>
              <w:top w:val="single" w:sz="6" w:space="0" w:color="D9DDE3"/>
              <w:left w:val="single" w:sz="6" w:space="0" w:color="D9DDE3"/>
              <w:bottom w:val="single" w:sz="6" w:space="0" w:color="D9DDE3"/>
              <w:right w:val="single" w:sz="6" w:space="0" w:color="D9DDE3"/>
              <w:insideH w:val="single" w:sz="6" w:space="0" w:color="D9DDE3"/>
              <w:insideV w:val="single" w:sz="6" w:space="0" w:color="D9DDE3"/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/>
                <w:color w:val="191919"/>
                <w:sz w:val="19"/>
              </w:rPr>
              <w:t>KLUCZ – CZĘŚĆ A</w:t>
            </w:r>
            <w:r>
              <w:rPr>
                <w:rFonts w:ascii="Calibri" w:hAnsi="Calibri"/>
                <w:b/>
                <w:color w:val="191919"/>
                <w:sz w:val="19"/>
              </w:rPr>
              <w:br/>
              <w:t>Rozpoznawanie i podstawowa wiedza</w:t>
            </w:r>
          </w:p>
        </w:tc>
      </w:tr>
    </w:tbl>
    <w:p>
      <w:pPr>
        <w:keepLines w:val="0"/>
        <w:spacing w:after="0"/>
      </w:pPr>
    </w:p>
    <w:p>
      <w:pPr>
        <w:pStyle w:val="Question"/>
        <w:keepNext/>
        <w:keepLines w:val="0"/>
        <w:spacing w:before="160" w:after="60"/>
      </w:pPr>
      <w:r>
        <w:rPr>
          <w:rFonts w:ascii="Calibri" w:hAnsi="Calibri"/>
          <w:b/>
          <w:color w:val="191919"/>
          <w:sz w:val="21"/>
        </w:rPr>
        <w:t>Zadanie 1 – 1 pkt</w:t>
      </w:r>
    </w:p>
    <w:p>
      <w:pPr>
        <w:pStyle w:val="KeyText"/>
        <w:keepLines w:val="0"/>
        <w:spacing w:after="60" w:line="247" w:lineRule="auto"/>
      </w:pPr>
      <w:r>
        <w:rPr>
          <w:rFonts w:ascii="Calibri" w:hAnsi="Calibri"/>
          <w:color w:val="191919"/>
          <w:sz w:val="20"/>
        </w:rPr>
        <w:t>A.</w:t>
      </w:r>
    </w:p>
    <w:p>
      <w:pPr>
        <w:pStyle w:val="Question"/>
        <w:keepNext/>
        <w:keepLines w:val="0"/>
        <w:spacing w:before="160" w:after="60"/>
      </w:pPr>
      <w:r>
        <w:rPr>
          <w:rFonts w:ascii="Calibri" w:hAnsi="Calibri"/>
          <w:b/>
          <w:color w:val="191919"/>
          <w:sz w:val="21"/>
        </w:rPr>
        <w:t>Zadanie 2 – 2 pkt</w:t>
      </w:r>
    </w:p>
    <w:p>
      <w:pPr>
        <w:pStyle w:val="KeyText"/>
        <w:keepLines w:val="0"/>
        <w:spacing w:after="60" w:line="247" w:lineRule="auto"/>
      </w:pPr>
      <w:r>
        <w:rPr>
          <w:rFonts w:ascii="Calibri" w:hAnsi="Calibri"/>
          <w:color w:val="191919"/>
          <w:sz w:val="20"/>
        </w:rPr>
        <w:t>B, D. 1 pkt za każdą prawidłową odpowiedź.</w:t>
      </w:r>
    </w:p>
    <w:p>
      <w:pPr>
        <w:pStyle w:val="Question"/>
        <w:keepNext/>
        <w:keepLines w:val="0"/>
        <w:spacing w:before="160" w:after="60"/>
      </w:pPr>
      <w:r>
        <w:rPr>
          <w:rFonts w:ascii="Calibri" w:hAnsi="Calibri"/>
          <w:b/>
          <w:color w:val="191919"/>
          <w:sz w:val="21"/>
        </w:rPr>
        <w:t>Zadanie 3 – 1 pkt</w:t>
      </w:r>
    </w:p>
    <w:p>
      <w:pPr>
        <w:pStyle w:val="KeyText"/>
        <w:keepLines w:val="0"/>
        <w:spacing w:after="60" w:line="247" w:lineRule="auto"/>
      </w:pPr>
      <w:r>
        <w:rPr>
          <w:rFonts w:ascii="Calibri" w:hAnsi="Calibri"/>
          <w:color w:val="191919"/>
          <w:sz w:val="20"/>
        </w:rPr>
        <w:t>B.</w:t>
      </w:r>
    </w:p>
    <w:p>
      <w:pPr>
        <w:pStyle w:val="Question"/>
        <w:keepNext/>
        <w:keepLines w:val="0"/>
        <w:spacing w:before="160" w:after="60"/>
      </w:pPr>
      <w:r>
        <w:rPr>
          <w:rFonts w:ascii="Calibri" w:hAnsi="Calibri"/>
          <w:b/>
          <w:color w:val="191919"/>
          <w:sz w:val="21"/>
        </w:rPr>
        <w:t>Zadanie 4 – 3 pkt</w:t>
      </w:r>
    </w:p>
    <w:p>
      <w:pPr>
        <w:pStyle w:val="KeyText"/>
        <w:keepLines w:val="0"/>
        <w:spacing w:after="60" w:line="247" w:lineRule="auto"/>
      </w:pPr>
      <w:r>
        <w:rPr>
          <w:rFonts w:ascii="Calibri" w:hAnsi="Calibri"/>
          <w:color w:val="191919"/>
          <w:sz w:val="20"/>
        </w:rPr>
        <w:t>1. S, 2. U, 3. D. Po 1 pkt za każdą prawidłową odpowiedź.</w:t>
      </w:r>
    </w:p>
    <w:p>
      <w:pPr>
        <w:pStyle w:val="Question"/>
        <w:keepNext/>
        <w:keepLines w:val="0"/>
        <w:spacing w:before="160" w:after="60"/>
      </w:pPr>
      <w:r>
        <w:rPr>
          <w:rFonts w:ascii="Calibri" w:hAnsi="Calibri"/>
          <w:b/>
          <w:color w:val="191919"/>
          <w:sz w:val="21"/>
        </w:rPr>
        <w:t>Zadanie 5 – 5 pkt</w:t>
      </w:r>
    </w:p>
    <w:p>
      <w:pPr>
        <w:pStyle w:val="KeyText"/>
        <w:keepLines w:val="0"/>
        <w:spacing w:after="60" w:line="247" w:lineRule="auto"/>
      </w:pPr>
      <w:r>
        <w:rPr>
          <w:rFonts w:ascii="Calibri" w:hAnsi="Calibri"/>
          <w:color w:val="191919"/>
          <w:sz w:val="20"/>
        </w:rPr>
        <w:t>1. C, 2. E, 3. B, 4. A, 5. D. Po 1 pkt za każde prawidłowe dopasowanie.</w:t>
      </w:r>
    </w:p>
    <w:p>
      <w:pPr>
        <w:pStyle w:val="Question"/>
        <w:keepNext/>
        <w:keepLines w:val="0"/>
        <w:spacing w:before="160" w:after="60"/>
      </w:pPr>
      <w:r>
        <w:rPr>
          <w:rFonts w:ascii="Calibri" w:hAnsi="Calibri"/>
          <w:b/>
          <w:color w:val="191919"/>
          <w:sz w:val="21"/>
        </w:rPr>
        <w:t>Zadanie 6 – 2 pkt</w:t>
      </w:r>
    </w:p>
    <w:p>
      <w:pPr>
        <w:pStyle w:val="KeyText"/>
        <w:keepLines w:val="0"/>
        <w:spacing w:after="60" w:line="247" w:lineRule="auto"/>
      </w:pPr>
      <w:r>
        <w:rPr>
          <w:rFonts w:ascii="Calibri" w:hAnsi="Calibri"/>
          <w:color w:val="191919"/>
          <w:sz w:val="20"/>
        </w:rPr>
        <w:t>C, D. 1 pkt za każdą prawidłową odpowiedź.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09"/>
        <w:gridCol w:w="9184"/>
      </w:tblGrid>
      <w:tr>
        <w:tc>
          <w:tcPr>
            <w:tcW w:type="dxa" w:w="5241"/>
            <w:tcMar>
              <w:top w:w="100" w:type="dxa"/>
              <w:start w:w="100" w:type="dxa"/>
              <w:bottom w:w="100" w:type="dxa"/>
              <w:end w:w="100" w:type="dxa"/>
              <w:left w:w="120" w:type="dxa"/>
              <w:right w:w="120" w:type="dxa"/>
            </w:tcMar>
            <w:vAlign w:val="center"/>
            <w:tcBorders>
              <w:top w:val="single" w:sz="6" w:space="0" w:color="D9DDE3"/>
              <w:left w:val="single" w:sz="6" w:space="0" w:color="D9DDE3"/>
              <w:bottom w:val="single" w:sz="6" w:space="0" w:color="D9DDE3"/>
              <w:right w:val="single" w:sz="6" w:space="0" w:color="D9DDE3"/>
              <w:insideH w:val="single" w:sz="6" w:space="0" w:color="D9DDE3"/>
              <w:insideV w:val="single" w:sz="6" w:space="0" w:color="D9DDE3"/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191919"/>
                <w:sz w:val="19"/>
              </w:rPr>
              <w:t>B</w:t>
            </w:r>
          </w:p>
        </w:tc>
        <w:tc>
          <w:tcPr>
            <w:tcW w:type="dxa" w:w="5241"/>
            <w:tcMar>
              <w:top w:w="100" w:type="dxa"/>
              <w:start w:w="140" w:type="dxa"/>
              <w:bottom w:w="100" w:type="dxa"/>
              <w:end w:w="140" w:type="dxa"/>
              <w:left w:w="120" w:type="dxa"/>
              <w:right w:w="120" w:type="dxa"/>
            </w:tcMar>
            <w:vAlign w:val="center"/>
            <w:tcBorders>
              <w:top w:val="single" w:sz="6" w:space="0" w:color="D9DDE3"/>
              <w:left w:val="single" w:sz="6" w:space="0" w:color="D9DDE3"/>
              <w:bottom w:val="single" w:sz="6" w:space="0" w:color="D9DDE3"/>
              <w:right w:val="single" w:sz="6" w:space="0" w:color="D9DDE3"/>
              <w:insideH w:val="single" w:sz="6" w:space="0" w:color="D9DDE3"/>
              <w:insideV w:val="single" w:sz="6" w:space="0" w:color="D9DDE3"/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/>
                <w:color w:val="191919"/>
                <w:sz w:val="19"/>
              </w:rPr>
              <w:t>KLUCZ – CZĘŚĆ B</w:t>
            </w:r>
            <w:r>
              <w:rPr>
                <w:rFonts w:ascii="Calibri" w:hAnsi="Calibri"/>
                <w:b/>
                <w:color w:val="191919"/>
                <w:sz w:val="19"/>
              </w:rPr>
              <w:br/>
              <w:t>Rozumienie i zastosowanie</w:t>
            </w:r>
          </w:p>
        </w:tc>
      </w:tr>
    </w:tbl>
    <w:p>
      <w:pPr>
        <w:keepLines w:val="0"/>
        <w:spacing w:after="0"/>
      </w:pPr>
    </w:p>
    <w:p>
      <w:pPr>
        <w:pStyle w:val="Question"/>
        <w:keepNext/>
        <w:keepLines w:val="0"/>
        <w:spacing w:before="160" w:after="60"/>
      </w:pPr>
      <w:r>
        <w:rPr>
          <w:rFonts w:ascii="Calibri" w:hAnsi="Calibri"/>
          <w:b/>
          <w:color w:val="191919"/>
          <w:sz w:val="21"/>
        </w:rPr>
        <w:t>Zadanie 7 – 3 pkt</w:t>
      </w:r>
    </w:p>
    <w:p>
      <w:pPr>
        <w:pStyle w:val="KeyText"/>
        <w:keepLines w:val="0"/>
        <w:spacing w:after="60" w:line="247" w:lineRule="auto"/>
      </w:pPr>
      <w:r>
        <w:rPr>
          <w:rFonts w:ascii="Calibri" w:hAnsi="Calibri"/>
          <w:color w:val="191919"/>
          <w:sz w:val="20"/>
        </w:rPr>
        <w:t>Przykładowo: stereotyp – przekonanie, że osoby z biedniejszych rodzin są mniej ambitne; uprzedzenie – niechęć do tych osób / niechęć do pracy z nimi wynikająca z przypisanej im cechy; dyskryminacja – celowe pominięcie ucznia podczas tworzenia grupy ze względu na sytuację materialną jego rodziny. 1 pkt za każdy prawidłowo rozpoznany element.</w:t>
      </w:r>
    </w:p>
    <w:p>
      <w:pPr>
        <w:pStyle w:val="Question"/>
        <w:keepNext/>
        <w:keepLines w:val="0"/>
        <w:spacing w:before="160" w:after="60"/>
      </w:pPr>
      <w:r>
        <w:rPr>
          <w:rFonts w:ascii="Calibri" w:hAnsi="Calibri"/>
          <w:b/>
          <w:color w:val="191919"/>
          <w:sz w:val="21"/>
        </w:rPr>
        <w:t>Zadanie 8 – 2 pkt</w:t>
      </w:r>
    </w:p>
    <w:p>
      <w:pPr>
        <w:pStyle w:val="KeyText"/>
        <w:keepLines w:val="0"/>
        <w:spacing w:after="60" w:line="247" w:lineRule="auto"/>
      </w:pPr>
      <w:r>
        <w:t>B – rzeczowa krytyka. 1 pkt za wybór B; 1 pkt za wyjaśnienie, że krytyka odnosi się do argumentu, działania lub zachowania, a nie poniża osoby lub grupy.</w:t>
      </w:r>
    </w:p>
    <w:p>
      <w:pPr>
        <w:pStyle w:val="Question"/>
        <w:keepNext/>
        <w:keepLines w:val="0"/>
        <w:spacing w:before="160" w:after="60"/>
      </w:pPr>
      <w:r>
        <w:rPr>
          <w:rFonts w:ascii="Calibri" w:hAnsi="Calibri"/>
          <w:b/>
          <w:color w:val="191919"/>
          <w:sz w:val="21"/>
        </w:rPr>
        <w:t>Zadanie 9 – 3 pkt</w:t>
      </w:r>
    </w:p>
    <w:p>
      <w:pPr>
        <w:pStyle w:val="KeyText"/>
        <w:keepLines w:val="0"/>
        <w:spacing w:after="60" w:line="247" w:lineRule="auto"/>
      </w:pPr>
      <w:r>
        <w:t>D. 1 pkt za wybór D. Po 1 pkt za wskazanie dwóch prawidłowych elementów, np. obserwacji konkretnego zachowania, nazwania uczucia, wskazania potrzeby, sformułowania konkretnej prośby.</w:t>
      </w:r>
    </w:p>
    <w:p>
      <w:pPr>
        <w:keepLines w:val="0"/>
      </w:pPr>
      <w:r>
        <w:rPr>
          <w:rFonts w:ascii="Calibri" w:hAnsi="Calibri"/>
          <w:color w:val="191919"/>
          <w:sz w:val="23"/>
        </w:rPr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09"/>
        <w:gridCol w:w="9184"/>
      </w:tblGrid>
      <w:tr>
        <w:tc>
          <w:tcPr>
            <w:tcW w:type="dxa" w:w="5241"/>
            <w:tcMar>
              <w:top w:w="100" w:type="dxa"/>
              <w:start w:w="100" w:type="dxa"/>
              <w:bottom w:w="100" w:type="dxa"/>
              <w:end w:w="100" w:type="dxa"/>
              <w:left w:w="120" w:type="dxa"/>
              <w:right w:w="120" w:type="dxa"/>
            </w:tcMar>
            <w:vAlign w:val="center"/>
            <w:tcBorders>
              <w:top w:val="single" w:sz="6" w:space="0" w:color="D9DDE3"/>
              <w:left w:val="single" w:sz="6" w:space="0" w:color="D9DDE3"/>
              <w:bottom w:val="single" w:sz="6" w:space="0" w:color="D9DDE3"/>
              <w:right w:val="single" w:sz="6" w:space="0" w:color="D9DDE3"/>
              <w:insideH w:val="single" w:sz="6" w:space="0" w:color="D9DDE3"/>
              <w:insideV w:val="single" w:sz="6" w:space="0" w:color="D9DDE3"/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191919"/>
                <w:sz w:val="19"/>
              </w:rPr>
              <w:t>C</w:t>
            </w:r>
          </w:p>
        </w:tc>
        <w:tc>
          <w:tcPr>
            <w:tcW w:type="dxa" w:w="5241"/>
            <w:tcMar>
              <w:top w:w="100" w:type="dxa"/>
              <w:start w:w="140" w:type="dxa"/>
              <w:bottom w:w="100" w:type="dxa"/>
              <w:end w:w="140" w:type="dxa"/>
              <w:left w:w="120" w:type="dxa"/>
              <w:right w:w="120" w:type="dxa"/>
            </w:tcMar>
            <w:vAlign w:val="center"/>
            <w:tcBorders>
              <w:top w:val="single" w:sz="6" w:space="0" w:color="D9DDE3"/>
              <w:left w:val="single" w:sz="6" w:space="0" w:color="D9DDE3"/>
              <w:bottom w:val="single" w:sz="6" w:space="0" w:color="D9DDE3"/>
              <w:right w:val="single" w:sz="6" w:space="0" w:color="D9DDE3"/>
              <w:insideH w:val="single" w:sz="6" w:space="0" w:color="D9DDE3"/>
              <w:insideV w:val="single" w:sz="6" w:space="0" w:color="D9DDE3"/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/>
                <w:color w:val="191919"/>
                <w:sz w:val="19"/>
              </w:rPr>
              <w:t>KLUCZ – CZĘŚĆ C</w:t>
            </w:r>
            <w:r>
              <w:rPr>
                <w:rFonts w:ascii="Calibri" w:hAnsi="Calibri"/>
                <w:b/>
                <w:color w:val="191919"/>
                <w:sz w:val="19"/>
              </w:rPr>
              <w:br/>
              <w:t>Analiza, argumentowanie i rozwiązywanie problemów</w:t>
            </w:r>
          </w:p>
        </w:tc>
      </w:tr>
    </w:tbl>
    <w:p>
      <w:pPr>
        <w:keepLines w:val="0"/>
        <w:spacing w:after="0"/>
      </w:pPr>
    </w:p>
    <w:p>
      <w:pPr>
        <w:pStyle w:val="Question"/>
        <w:keepNext/>
        <w:keepLines w:val="0"/>
        <w:spacing w:before="160" w:after="60"/>
      </w:pPr>
      <w:r>
        <w:rPr>
          <w:rFonts w:ascii="Calibri" w:hAnsi="Calibri"/>
          <w:b/>
          <w:color w:val="191919"/>
          <w:sz w:val="21"/>
        </w:rPr>
        <w:t>Zadanie 10 – 3 pkt</w:t>
      </w:r>
    </w:p>
    <w:p>
      <w:pPr>
        <w:pStyle w:val="KeyText"/>
        <w:keepLines w:val="0"/>
        <w:spacing w:after="60" w:line="247" w:lineRule="auto"/>
      </w:pPr>
      <w:r>
        <w:rPr>
          <w:rFonts w:ascii="Calibri" w:hAnsi="Calibri"/>
          <w:color w:val="191919"/>
          <w:sz w:val="20"/>
        </w:rPr>
        <w:t>2 pkt – uczeń wskazuje np. publiczne poniżenie, ośmieszenie, ocenianie osoby zamiast jej działania, podważanie jej wartości lub kompetencji w upokarzający sposób. 1 pkt – poprawna propozycja informacji zwrotnej, np.: „W tym zadaniu popełniłeś błąd w tym miejscu. Sprawdź jeszcze raz instrukcję i spróbuj wykonać ten etap ponownie.”</w:t>
      </w:r>
    </w:p>
    <w:p>
      <w:pPr>
        <w:pStyle w:val="Question"/>
        <w:keepNext/>
        <w:keepLines w:val="0"/>
        <w:spacing w:before="160" w:after="60"/>
      </w:pPr>
      <w:r>
        <w:rPr>
          <w:rFonts w:ascii="Calibri" w:hAnsi="Calibri"/>
          <w:b/>
          <w:color w:val="191919"/>
          <w:sz w:val="21"/>
        </w:rPr>
        <w:t>Zadanie 11 – 2 pkt</w:t>
      </w:r>
    </w:p>
    <w:p>
      <w:pPr>
        <w:pStyle w:val="KeyText"/>
        <w:keepLines w:val="0"/>
        <w:spacing w:after="60" w:line="247" w:lineRule="auto"/>
      </w:pPr>
      <w:r>
        <w:rPr>
          <w:rFonts w:ascii="Calibri" w:hAnsi="Calibri"/>
          <w:color w:val="191919"/>
          <w:sz w:val="20"/>
        </w:rPr>
        <w:t>Przykładowa odpowiedź: Nie. Zapewnienie dostępnego sposobu wejścia nie oznacza uprzywilejowania. Równe traktowanie nie zawsze wymaga zastosowania identycznego rozwiązania wobec każdej osoby; dostosowanie może umożliwić rzeczywiście równy dostęp. 2 pkt – poprawna odpowiedź wraz z uzasadnieniem; 1 pkt – poprawna odpowiedź bez pełnego uzasadnienia.</w:t>
      </w:r>
    </w:p>
    <w:p>
      <w:pPr>
        <w:pStyle w:val="Question"/>
        <w:keepNext/>
        <w:keepLines w:val="0"/>
        <w:spacing w:before="160" w:after="60"/>
      </w:pPr>
      <w:r>
        <w:rPr>
          <w:rFonts w:ascii="Calibri" w:hAnsi="Calibri"/>
          <w:b/>
          <w:color w:val="191919"/>
          <w:sz w:val="21"/>
        </w:rPr>
        <w:t>Zadanie 12 – 3 pkt</w:t>
      </w:r>
    </w:p>
    <w:p>
      <w:pPr>
        <w:pStyle w:val="KeyText"/>
        <w:keepLines w:val="0"/>
        <w:spacing w:after="60" w:line="247" w:lineRule="auto"/>
      </w:pPr>
      <w:r>
        <w:rPr>
          <w:rFonts w:ascii="Calibri" w:hAnsi="Calibri"/>
          <w:color w:val="191919"/>
          <w:sz w:val="20"/>
        </w:rPr>
        <w:t>Po 1 pkt za każde prawidłowe i bezpieczne działanie, np. wyrażenie sprzeciwu, jeśli sytuacja na to pozwala; wezwanie nauczyciela lub innej osoby dorosłej; udzielenie wsparcia osobie doświadczającej dyskryminacji; zgłoszenie zdarzenia odpowiedniej osobie; w sytuacji online – zachowanie dowodów i zgłoszenie treści. 1 pkt za sensowne wyjaśnienie znaczenia reakcji świadków, np. przerwanie normalizacji dyskryminacji, wsparcie osoby pokrzywdzonej lub zmniejszenie poczucia bezkarności sprawców.</w:t>
      </w:r>
    </w:p>
    <w:p>
      <w:pPr>
        <w:pStyle w:val="Heading2"/>
        <w:keepLines w:val="0"/>
        <w:spacing w:after="60" w:line="247" w:lineRule="auto"/>
      </w:pPr>
      <w:r>
        <w:rPr>
          <w:rFonts w:ascii="Calibri" w:hAnsi="Calibri"/>
          <w:color w:val="191919"/>
          <w:sz w:val="20"/>
        </w:rPr>
        <w:t>Gradacja trudności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494"/>
        <w:gridCol w:w="3494"/>
        <w:gridCol w:w="3494"/>
      </w:tblGrid>
      <w:tr>
        <w:tc>
          <w:tcPr>
            <w:tcW w:type="dxa" w:w="3494"/>
            <w:tcMar>
              <w:top w:w="100" w:type="dxa"/>
              <w:start w:w="90" w:type="dxa"/>
              <w:bottom w:w="100" w:type="dxa"/>
              <w:end w:w="90" w:type="dxa"/>
              <w:left w:w="120" w:type="dxa"/>
              <w:right w:w="120" w:type="dxa"/>
            </w:tcMar>
            <w:tcBorders>
              <w:top w:val="single" w:sz="4" w:color="E2E5E9" w:space="0"/>
              <w:left w:val="single" w:sz="4" w:color="E2E5E9" w:space="0"/>
              <w:bottom w:val="single" w:sz="4" w:color="E2E5E9" w:space="0"/>
              <w:right w:val="single" w:sz="4" w:color="E2E5E9" w:space="0"/>
              <w:insideH w:val="single" w:sz="4" w:space="0" w:color="E2E5E9"/>
              <w:insideV w:val="single" w:sz="4" w:space="0" w:color="E2E5E9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/>
                <w:color w:val="191919"/>
                <w:sz w:val="18"/>
              </w:rPr>
              <w:t>Część</w:t>
            </w:r>
          </w:p>
        </w:tc>
        <w:tc>
          <w:tcPr>
            <w:tcW w:type="dxa" w:w="3494"/>
            <w:tcMar>
              <w:top w:w="100" w:type="dxa"/>
              <w:start w:w="90" w:type="dxa"/>
              <w:bottom w:w="100" w:type="dxa"/>
              <w:end w:w="90" w:type="dxa"/>
              <w:left w:w="120" w:type="dxa"/>
              <w:right w:w="120" w:type="dxa"/>
            </w:tcMar>
            <w:tcBorders>
              <w:top w:val="single" w:sz="4" w:color="E2E5E9" w:space="0"/>
              <w:left w:val="single" w:sz="4" w:color="E2E5E9" w:space="0"/>
              <w:bottom w:val="single" w:sz="4" w:color="E2E5E9" w:space="0"/>
              <w:right w:val="single" w:sz="4" w:color="E2E5E9" w:space="0"/>
              <w:insideH w:val="single" w:sz="4" w:space="0" w:color="E2E5E9"/>
              <w:insideV w:val="single" w:sz="4" w:space="0" w:color="E2E5E9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/>
                <w:color w:val="191919"/>
                <w:sz w:val="18"/>
              </w:rPr>
              <w:t>Dominujący poziom</w:t>
            </w:r>
          </w:p>
        </w:tc>
        <w:tc>
          <w:tcPr>
            <w:tcW w:type="dxa" w:w="3494"/>
            <w:tcMar>
              <w:top w:w="100" w:type="dxa"/>
              <w:start w:w="90" w:type="dxa"/>
              <w:bottom w:w="100" w:type="dxa"/>
              <w:end w:w="90" w:type="dxa"/>
              <w:left w:w="120" w:type="dxa"/>
              <w:right w:w="120" w:type="dxa"/>
            </w:tcMar>
            <w:tcBorders>
              <w:top w:val="single" w:sz="4" w:color="E2E5E9" w:space="0"/>
              <w:left w:val="single" w:sz="4" w:color="E2E5E9" w:space="0"/>
              <w:bottom w:val="single" w:sz="4" w:color="E2E5E9" w:space="0"/>
              <w:right w:val="single" w:sz="4" w:color="E2E5E9" w:space="0"/>
              <w:insideH w:val="single" w:sz="4" w:space="0" w:color="E2E5E9"/>
              <w:insideV w:val="single" w:sz="4" w:space="0" w:color="E2E5E9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/>
                <w:color w:val="191919"/>
                <w:sz w:val="18"/>
              </w:rPr>
              <w:t>Co uczeń pokazuje</w:t>
            </w:r>
          </w:p>
        </w:tc>
      </w:tr>
      <w:tr>
        <w:tc>
          <w:tcPr>
            <w:tcW w:type="dxa" w:w="3494"/>
            <w:tcMar>
              <w:top w:w="100" w:type="dxa"/>
              <w:start w:w="90" w:type="dxa"/>
              <w:bottom w:w="100" w:type="dxa"/>
              <w:end w:w="90" w:type="dxa"/>
              <w:left w:w="120" w:type="dxa"/>
              <w:right w:w="120" w:type="dxa"/>
            </w:tcMar>
            <w:tcBorders>
              <w:top w:val="single" w:sz="4" w:color="E2E5E9" w:space="0"/>
              <w:left w:val="single" w:sz="4" w:color="E2E5E9" w:space="0"/>
              <w:bottom w:val="single" w:sz="4" w:color="E2E5E9" w:space="0"/>
              <w:right w:val="single" w:sz="4" w:color="E2E5E9" w:space="0"/>
              <w:insideH w:val="single" w:sz="4" w:space="0" w:color="E2E5E9"/>
              <w:insideV w:val="single" w:sz="4" w:space="0" w:color="E2E5E9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color w:val="191919"/>
                <w:sz w:val="18"/>
              </w:rPr>
              <w:t>A</w:t>
            </w:r>
          </w:p>
        </w:tc>
        <w:tc>
          <w:tcPr>
            <w:tcW w:type="dxa" w:w="3494"/>
            <w:tcMar>
              <w:top w:w="100" w:type="dxa"/>
              <w:start w:w="90" w:type="dxa"/>
              <w:bottom w:w="100" w:type="dxa"/>
              <w:end w:w="90" w:type="dxa"/>
              <w:left w:w="120" w:type="dxa"/>
              <w:right w:w="120" w:type="dxa"/>
            </w:tcMar>
            <w:tcBorders>
              <w:top w:val="single" w:sz="4" w:color="E2E5E9" w:space="0"/>
              <w:left w:val="single" w:sz="4" w:color="E2E5E9" w:space="0"/>
              <w:bottom w:val="single" w:sz="4" w:color="E2E5E9" w:space="0"/>
              <w:right w:val="single" w:sz="4" w:color="E2E5E9" w:space="0"/>
              <w:insideH w:val="single" w:sz="4" w:space="0" w:color="E2E5E9"/>
              <w:insideV w:val="single" w:sz="4" w:space="0" w:color="E2E5E9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color w:val="191919"/>
                <w:sz w:val="18"/>
              </w:rPr>
              <w:t>Rozpoznawanie i wiedza podstawowa</w:t>
            </w:r>
          </w:p>
        </w:tc>
        <w:tc>
          <w:tcPr>
            <w:tcW w:type="dxa" w:w="3494"/>
            <w:tcMar>
              <w:top w:w="100" w:type="dxa"/>
              <w:start w:w="90" w:type="dxa"/>
              <w:bottom w:w="100" w:type="dxa"/>
              <w:end w:w="90" w:type="dxa"/>
              <w:left w:w="120" w:type="dxa"/>
              <w:right w:w="120" w:type="dxa"/>
            </w:tcMar>
            <w:tcBorders>
              <w:top w:val="single" w:sz="4" w:color="E2E5E9" w:space="0"/>
              <w:left w:val="single" w:sz="4" w:color="E2E5E9" w:space="0"/>
              <w:bottom w:val="single" w:sz="4" w:color="E2E5E9" w:space="0"/>
              <w:right w:val="single" w:sz="4" w:color="E2E5E9" w:space="0"/>
              <w:insideH w:val="single" w:sz="4" w:space="0" w:color="E2E5E9"/>
              <w:insideV w:val="single" w:sz="4" w:space="0" w:color="E2E5E9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color w:val="191919"/>
                <w:sz w:val="18"/>
              </w:rPr>
              <w:t>rozpoznaje pojęcia, wskazuje prawidłowe informacje, klasyfikuje przykłady</w:t>
            </w:r>
          </w:p>
        </w:tc>
      </w:tr>
      <w:tr>
        <w:tc>
          <w:tcPr>
            <w:tcW w:type="dxa" w:w="3494"/>
            <w:tcMar>
              <w:top w:w="100" w:type="dxa"/>
              <w:start w:w="90" w:type="dxa"/>
              <w:bottom w:w="100" w:type="dxa"/>
              <w:end w:w="90" w:type="dxa"/>
              <w:left w:w="120" w:type="dxa"/>
              <w:right w:w="120" w:type="dxa"/>
            </w:tcMar>
            <w:tcBorders>
              <w:top w:val="single" w:sz="4" w:color="E2E5E9" w:space="0"/>
              <w:left w:val="single" w:sz="4" w:color="E2E5E9" w:space="0"/>
              <w:bottom w:val="single" w:sz="4" w:color="E2E5E9" w:space="0"/>
              <w:right w:val="single" w:sz="4" w:color="E2E5E9" w:space="0"/>
              <w:insideH w:val="single" w:sz="4" w:space="0" w:color="E2E5E9"/>
              <w:insideV w:val="single" w:sz="4" w:space="0" w:color="E2E5E9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color w:val="191919"/>
                <w:sz w:val="18"/>
              </w:rPr>
              <w:t>B</w:t>
            </w:r>
          </w:p>
        </w:tc>
        <w:tc>
          <w:tcPr>
            <w:tcW w:type="dxa" w:w="3494"/>
            <w:tcMar>
              <w:top w:w="100" w:type="dxa"/>
              <w:start w:w="90" w:type="dxa"/>
              <w:bottom w:w="100" w:type="dxa"/>
              <w:end w:w="90" w:type="dxa"/>
              <w:left w:w="120" w:type="dxa"/>
              <w:right w:w="120" w:type="dxa"/>
            </w:tcMar>
            <w:tcBorders>
              <w:top w:val="single" w:sz="4" w:color="E2E5E9" w:space="0"/>
              <w:left w:val="single" w:sz="4" w:color="E2E5E9" w:space="0"/>
              <w:bottom w:val="single" w:sz="4" w:color="E2E5E9" w:space="0"/>
              <w:right w:val="single" w:sz="4" w:color="E2E5E9" w:space="0"/>
              <w:insideH w:val="single" w:sz="4" w:space="0" w:color="E2E5E9"/>
              <w:insideV w:val="single" w:sz="4" w:space="0" w:color="E2E5E9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color w:val="191919"/>
                <w:sz w:val="18"/>
              </w:rPr>
              <w:t>Rozumienie i zastosowanie</w:t>
            </w:r>
          </w:p>
        </w:tc>
        <w:tc>
          <w:tcPr>
            <w:tcW w:type="dxa" w:w="3494"/>
            <w:tcMar>
              <w:top w:w="100" w:type="dxa"/>
              <w:start w:w="90" w:type="dxa"/>
              <w:bottom w:w="100" w:type="dxa"/>
              <w:end w:w="90" w:type="dxa"/>
              <w:left w:w="120" w:type="dxa"/>
              <w:right w:w="120" w:type="dxa"/>
            </w:tcMar>
            <w:tcBorders>
              <w:top w:val="single" w:sz="4" w:color="E2E5E9" w:space="0"/>
              <w:left w:val="single" w:sz="4" w:color="E2E5E9" w:space="0"/>
              <w:bottom w:val="single" w:sz="4" w:color="E2E5E9" w:space="0"/>
              <w:right w:val="single" w:sz="4" w:color="E2E5E9" w:space="0"/>
              <w:insideH w:val="single" w:sz="4" w:space="0" w:color="E2E5E9"/>
              <w:insideV w:val="single" w:sz="4" w:space="0" w:color="E2E5E9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color w:val="191919"/>
                <w:sz w:val="18"/>
              </w:rPr>
              <w:t>stosuje pojęcia w sytuacjach i rozpoznaje mechanizmy zachowań oraz komunikacji</w:t>
            </w:r>
          </w:p>
        </w:tc>
      </w:tr>
      <w:tr>
        <w:tc>
          <w:tcPr>
            <w:tcW w:type="dxa" w:w="3494"/>
            <w:tcMar>
              <w:top w:w="100" w:type="dxa"/>
              <w:start w:w="90" w:type="dxa"/>
              <w:bottom w:w="100" w:type="dxa"/>
              <w:end w:w="90" w:type="dxa"/>
              <w:left w:w="120" w:type="dxa"/>
              <w:right w:w="120" w:type="dxa"/>
            </w:tcMar>
            <w:tcBorders>
              <w:top w:val="single" w:sz="4" w:color="E2E5E9" w:space="0"/>
              <w:left w:val="single" w:sz="4" w:color="E2E5E9" w:space="0"/>
              <w:bottom w:val="single" w:sz="4" w:color="E2E5E9" w:space="0"/>
              <w:right w:val="single" w:sz="4" w:color="E2E5E9" w:space="0"/>
              <w:insideH w:val="single" w:sz="4" w:space="0" w:color="E2E5E9"/>
              <w:insideV w:val="single" w:sz="4" w:space="0" w:color="E2E5E9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color w:val="191919"/>
                <w:sz w:val="18"/>
              </w:rPr>
              <w:t>C</w:t>
            </w:r>
          </w:p>
        </w:tc>
        <w:tc>
          <w:tcPr>
            <w:tcW w:type="dxa" w:w="3494"/>
            <w:tcMar>
              <w:top w:w="100" w:type="dxa"/>
              <w:start w:w="90" w:type="dxa"/>
              <w:bottom w:w="100" w:type="dxa"/>
              <w:end w:w="90" w:type="dxa"/>
              <w:left w:w="120" w:type="dxa"/>
              <w:right w:w="120" w:type="dxa"/>
            </w:tcMar>
            <w:tcBorders>
              <w:top w:val="single" w:sz="4" w:color="E2E5E9" w:space="0"/>
              <w:left w:val="single" w:sz="4" w:color="E2E5E9" w:space="0"/>
              <w:bottom w:val="single" w:sz="4" w:color="E2E5E9" w:space="0"/>
              <w:right w:val="single" w:sz="4" w:color="E2E5E9" w:space="0"/>
              <w:insideH w:val="single" w:sz="4" w:space="0" w:color="E2E5E9"/>
              <w:insideV w:val="single" w:sz="4" w:space="0" w:color="E2E5E9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color w:val="191919"/>
                <w:sz w:val="18"/>
              </w:rPr>
              <w:t>Analiza i argumentowanie</w:t>
            </w:r>
          </w:p>
        </w:tc>
        <w:tc>
          <w:tcPr>
            <w:tcW w:type="dxa" w:w="3494"/>
            <w:tcMar>
              <w:top w:w="100" w:type="dxa"/>
              <w:start w:w="90" w:type="dxa"/>
              <w:bottom w:w="100" w:type="dxa"/>
              <w:end w:w="90" w:type="dxa"/>
              <w:left w:w="120" w:type="dxa"/>
              <w:right w:w="120" w:type="dxa"/>
            </w:tcMar>
            <w:tcBorders>
              <w:top w:val="single" w:sz="4" w:color="E2E5E9" w:space="0"/>
              <w:left w:val="single" w:sz="4" w:color="E2E5E9" w:space="0"/>
              <w:bottom w:val="single" w:sz="4" w:color="E2E5E9" w:space="0"/>
              <w:right w:val="single" w:sz="4" w:color="E2E5E9" w:space="0"/>
              <w:insideH w:val="single" w:sz="4" w:space="0" w:color="E2E5E9"/>
              <w:insideV w:val="single" w:sz="4" w:space="0" w:color="E2E5E9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color w:val="191919"/>
                <w:sz w:val="18"/>
              </w:rPr>
              <w:t>analizuje sytuacje, uzasadnia ocenę i proponuje adekwatne rozwiązania</w:t>
            </w:r>
          </w:p>
        </w:tc>
      </w:tr>
    </w:tbl>
    <w:p>
      <w:pPr>
        <w:keepLines w:val="0"/>
        <w:spacing w:before="100" w:after="0"/>
      </w:pPr>
      <w:r>
        <w:rPr>
          <w:rFonts w:ascii="Calibri" w:hAnsi="Calibri"/>
          <w:b/>
          <w:color w:val="191919"/>
          <w:sz w:val="19"/>
        </w:rPr>
        <w:t xml:space="preserve">Wskazówka: </w:t>
      </w:r>
      <w:r>
        <w:rPr>
          <w:rFonts w:ascii="Calibri" w:hAnsi="Calibri"/>
          <w:color w:val="191919"/>
          <w:sz w:val="19"/>
        </w:rPr>
        <w:t>zadania otwarte można oceniać na podstawie sensu odpowiedzi; podane przykłady nie wyczerpują wszystkich poprawnych możliwości.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964" w:right="1020" w:bottom="964" w:left="1020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6978"/>
        <w:sz w:val="16"/>
      </w:rPr>
      <w:t>Karta sprawdzająca nr 1  •  Godność człowieka a różnorodność  •  materiał autorski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b/>
        <w:color w:val="162F4E"/>
        <w:sz w:val="17"/>
      </w:rPr>
      <w:t>ZDROWA LEKCJA  |  EDUKACJA ZDROWOTNA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Calibri" w:hAnsi="Calibri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Calibri" w:hAnsi="Calibri"/>
      <w:b/>
      <w:bCs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 w:before="120"/>
      <w:contextualSpacing/>
    </w:pPr>
    <w:rPr>
      <w:rFonts w:asciiTheme="majorHAnsi" w:eastAsiaTheme="majorEastAsia" w:hAnsiTheme="majorHAnsi" w:cstheme="majorBidi" w:ascii="Calibri" w:hAnsi="Calibri"/>
      <w:b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Label">
    <w:name w:val="SmallLabel"/>
    <w:pPr>
      <w:spacing w:after="60"/>
    </w:pPr>
    <w:rPr>
      <w:rFonts w:ascii="Calibri" w:hAnsi="Calibri"/>
      <w:b/>
      <w:color w:val="5B6978"/>
      <w:sz w:val="17"/>
    </w:rPr>
  </w:style>
  <w:style w:type="paragraph" w:customStyle="1" w:styleId="Question">
    <w:name w:val="Question"/>
    <w:pPr>
      <w:spacing w:after="60"/>
    </w:pPr>
    <w:rPr>
      <w:rFonts w:ascii="Calibri" w:hAnsi="Calibri"/>
      <w:b/>
      <w:color w:val="162F4E"/>
      <w:sz w:val="21"/>
    </w:rPr>
  </w:style>
  <w:style w:type="paragraph" w:customStyle="1" w:styleId="KeyText">
    <w:name w:val="KeyText"/>
    <w:pPr>
      <w:spacing w:after="60"/>
    </w:pPr>
    <w:rPr>
      <w:rFonts w:ascii="Calibri" w:hAnsi="Calibri"/>
      <w:b w:val="0"/>
      <w:color w:val="1E1E1E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sprawdzająca nr 1 – Godność człowieka a różnorodność</dc:title>
  <dc:subject>Edukacja zdrowotna – liceum i technikum</dc:subject>
  <dc:creator>Zdrowa Lekcja</dc:creator>
  <cp:keywords>edukacja zdrowotna, liceum, technikum, godność, różnorodność, sprawdzian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